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5" w:line="240" w:lineRule="auto"/>
        <w:ind w:firstLine="252" w:left="50" w:right="144"/>
      </w:pPr>
      <w:r>
        <w:rPr>
          <w:sz w:val="30"/>
        </w:rPr>
        <w:t xml:space="preserve">Анализ Сведений о доходах, расходах, об имуществе и обязательствах имущественного характера муниципальных служащих администрации и руководителя муниципального учреждения </w:t>
      </w:r>
      <w:r>
        <w:rPr>
          <w:sz w:val="30"/>
        </w:rPr>
        <w:t>Поляковского</w:t>
      </w:r>
      <w:r>
        <w:rPr>
          <w:sz w:val="30"/>
        </w:rPr>
        <w:t xml:space="preserve"> сельского поселения, их супруги (супруга) и несовершеннолетних детей, представленных за 2024</w:t>
      </w:r>
      <w:r>
        <w:rPr>
          <w:sz w:val="30"/>
        </w:rPr>
        <w:t>год</w:t>
      </w:r>
    </w:p>
    <w:p w14:paraId="02000000">
      <w:pPr>
        <w:spacing w:after="258"/>
        <w:ind w:firstLine="504" w:left="0" w:right="64"/>
      </w:pPr>
      <w:r>
        <w:t xml:space="preserve">В соответствии с Федеральным законом от 25.12.2008 г. № 273-ФЗ ”О противодействии коррупции“ проведен анализ поступивших от муниципальных служащих администрации и руководителя муниципального учреждения Поляковского сельского поселения сведений о доходах, расходах, об имуществе и обязательствах имущественного характера их </w:t>
      </w:r>
      <w:r>
        <w:drawing>
          <wp:inline>
            <wp:extent cx="4445" cy="44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супруги (супруга) и несовершеннолетних детей, представленных за 2024 </w:t>
      </w:r>
      <w:r>
        <w:t>год.</w:t>
      </w:r>
    </w:p>
    <w:p w14:paraId="03000000">
      <w:pPr>
        <w:spacing w:after="0"/>
        <w:ind w:right="64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1041400</wp:posOffset>
            </wp:positionH>
            <wp:positionV relativeFrom="page">
              <wp:posOffset>8207375</wp:posOffset>
            </wp:positionV>
            <wp:extent cx="8890" cy="4445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890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t>Всего принято 9 справок о доходах, расходах, об имуществе и обязательствах имущественного характера (своих, супругов и несовершеннолетних детей) за период 2024</w:t>
      </w:r>
      <w:r>
        <w:t xml:space="preserve"> года от 8 муниципальных служащих администрации и справка от руководителя муниципального учреждения Поляковского сельского поселения. Все муниципальные служащие, замещающие должности в администрации, предусмотренные соответствующим перечнем и руководитель муниципального учреждения Поляковского сельского поселения, представили сведения об имуществе и обязательствах имущественного характера (своих, супругов и несовершеннолетних детей) за период 2024</w:t>
      </w:r>
      <w:r>
        <w:t xml:space="preserve"> года. Была проверена правильность оформления представленных сведений и соответствие форме, утвержденной Указом Президента РФ от 23.06.2014 года N9 460 </w:t>
      </w:r>
      <w:r>
        <w:drawing>
          <wp:inline>
            <wp:extent cx="283464" cy="12319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3464" cy="123190"/>
                    </a:xfrm>
                    <a:prstGeom prst="rect"/>
                  </pic:spPr>
                </pic:pic>
              </a:graphicData>
            </a:graphic>
          </wp:inline>
        </w:drawing>
      </w:r>
      <w:r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Федерации“ заполнение всех реквизитов, предоставление всех подписей. Проведен анализ сведений о доходах, расходах, об имуществе и обязательствах имущественного характера (своих, супругов и несовершеннолетних детей) за период 2024 года путем сопоставления справок за отчетный период со справками за три предшествующих периода и информацией содержащейся в личных делах.</w:t>
      </w:r>
    </w:p>
    <w:p w14:paraId="04000000">
      <w:pPr>
        <w:spacing w:after="0"/>
        <w:ind w:firstLine="0" w:left="547" w:right="0"/>
        <w:jc w:val="left"/>
      </w:pPr>
      <w:r>
        <w:drawing>
          <wp:inline>
            <wp:extent cx="8890" cy="889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8890" cy="8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265"/>
        <w:ind w:firstLine="36" w:left="64" w:right="64"/>
      </w:pPr>
      <w:r>
        <w:t>Во время заполнения, приема справок с каждым муниципальным служащим и руководителем проводились беседы на предмет полноты и достоверности заполнения справок, а также разъяснилось положения законодательства о противодействии коррупции. Предоставлялись консультации по вопросам заполнения и предоставления сведений о доходах.</w:t>
      </w:r>
    </w:p>
    <w:p w14:paraId="06000000">
      <w:pPr>
        <w:spacing w:after="0" w:line="240" w:lineRule="auto"/>
        <w:ind w:firstLine="0" w:left="64" w:right="64"/>
      </w:pPr>
      <w:r>
        <w:t>В ходе проведения анализа выявлено, что кроме доходов по основному месту работы муниципальные служащие, руководитель муниципального учреждения указывали доходы от вкладов в банках, в иных доходах указывали доход от пенсии и др.</w:t>
      </w:r>
    </w:p>
    <w:p w14:paraId="07000000">
      <w:pPr>
        <w:spacing w:after="0"/>
        <w:ind w:firstLine="633" w:left="64" w:right="64"/>
      </w:pPr>
      <w:r>
        <w:drawing>
          <wp:inline>
            <wp:extent cx="4445" cy="444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Сведения о расходах не предоставлялись, так как муниципальными служащими, руководителем учреждения супругами и несовершеннолетними детьми муниципальных служащих, руководителем учреждения земельные участки, объекты недвижимости, иное имущество, стоимость которого</w:t>
      </w:r>
    </w:p>
    <w:p w14:paraId="08000000">
      <w:pPr>
        <w:spacing w:after="325"/>
        <w:ind w:firstLine="0" w:left="64" w:right="64"/>
      </w:pPr>
      <w:r>
        <w:t>превышает общий доход супругов за три последних года не приобреталась</w:t>
      </w:r>
      <w:r>
        <w:t>.</w:t>
      </w:r>
    </w:p>
    <w:p w14:paraId="09000000">
      <w:pPr>
        <w:spacing w:after="321"/>
        <w:ind w:firstLine="0" w:left="64" w:right="64"/>
      </w:pPr>
      <w:r>
        <w:t>При</w:t>
      </w:r>
      <w:r>
        <w:t xml:space="preserve"> проведения анализа раздела «Сведения об имуществе» нарушений не выявлено, все предоставлены подтверждающие документы.</w:t>
      </w:r>
    </w:p>
    <w:p w14:paraId="0A000000">
      <w:pPr>
        <w:ind w:firstLine="0" w:left="64" w:right="64"/>
      </w:pPr>
      <w:r>
        <w:t xml:space="preserve">Подраздел «Транспортные средства» лица, имеющие транспортные </w:t>
      </w:r>
      <w:r>
        <w:drawing>
          <wp:inline>
            <wp:extent cx="4445" cy="4445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t>средства заполнен в полном объеме, с указанием вида, марки, модели, года транспортного средства, а также указан вид собственности и место регистрации.</w:t>
      </w:r>
    </w:p>
    <w:p w14:paraId="0B000000">
      <w:pPr>
        <w:ind w:firstLine="662" w:left="0" w:right="64"/>
      </w:pPr>
      <w:r>
        <w:t xml:space="preserve">Раздел «Сведения о финансовых активах, цифровых правах, включая цифровые активы и иные цифровые права». «Утилизированные цифровые </w:t>
      </w:r>
      <w:r>
        <w:drawing>
          <wp:inline>
            <wp:extent cx="4445" cy="444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t>права», «Цифровая валюта» не заполняли. Муниципальные служащие, руководитель учреждения, а также члены их семей не владеют ими.</w:t>
      </w:r>
    </w:p>
    <w:p w14:paraId="0C000000">
      <w:pPr>
        <w:ind w:firstLine="734" w:left="64" w:right="64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7104380</wp:posOffset>
            </wp:positionH>
            <wp:positionV relativeFrom="page">
              <wp:posOffset>1558290</wp:posOffset>
            </wp:positionV>
            <wp:extent cx="4445" cy="4445"/>
            <wp:effectExtent b="0" l="0" r="0" t="0"/>
            <wp:wrapTopAndBottom distB="0" dist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7094855</wp:posOffset>
            </wp:positionH>
            <wp:positionV relativeFrom="page">
              <wp:posOffset>2550160</wp:posOffset>
            </wp:positionV>
            <wp:extent cx="4445" cy="4445"/>
            <wp:effectExtent b="0" l="0" r="0" t="0"/>
            <wp:wrapSquare distB="0" distL="114300" distR="114300" distT="0" wrapText="bothSides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В ходе осуществления анализа сведений о счетах, указанных в разделе «Сведения о счетах в банках и иных кредитных организациях» своих справок и справках своих супругов и несовершеннолетних детей, сумм, превышающих общий доход лица и его супруга (супруги), несовершеннолетних детей, за отчетный период и два предшествующих года не выявлено. В случае отсутствия в отчетном периоде сведений о счетах, </w:t>
      </w:r>
      <w:r>
        <w:drawing>
          <wp:inline>
            <wp:extent cx="4445" cy="4445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t>имевшихся в предыдущем отчетном периоде, муниципальным служащим и руководителя учреждения даны пояснения о закрытии счетов.</w:t>
      </w:r>
    </w:p>
    <w:p w14:paraId="0D000000">
      <w:pPr>
        <w:ind w:firstLine="0" w:left="64" w:right="64"/>
      </w:pPr>
      <w:r>
        <w:t>Раздел «Сведения о ценных бумагах» муниципальные служащие и руководитель учреждения не заполняли. Муниципальные служащие, а также члены их семей ценными бумагами, акциями не владеют, в коммерческих организациях и фондах участие не принимают.</w:t>
      </w:r>
    </w:p>
    <w:p w14:paraId="0E000000">
      <w:pPr>
        <w:ind w:firstLine="0" w:left="64" w:right="64"/>
      </w:pPr>
      <w:r>
        <w:t>В ходе анализа раздела «Сведения об обязательствах имущественного характера «установлено следующее:</w:t>
      </w:r>
    </w:p>
    <w:p w14:paraId="0F000000">
      <w:pPr>
        <w:ind w:firstLine="0" w:left="64" w:right="64"/>
      </w:pPr>
      <w:r>
        <w:t>Сведения об объектах недвижимого имущества, находящихся в собственности лиц замещающих должности муниципальной службы, а также членов их семей соответствуют сведениям за предыдущий отчетный период.</w:t>
      </w:r>
    </w:p>
    <w:p w14:paraId="10000000">
      <w:pPr>
        <w:spacing w:after="329"/>
        <w:ind w:hanging="10" w:left="10" w:right="28"/>
        <w:jc w:val="right"/>
      </w:pPr>
      <w:r>
        <w:drawing>
          <wp:inline>
            <wp:extent cx="4445" cy="4445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t>В ходе анализа раздела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14:paraId="11000000">
      <w:pPr>
        <w:spacing w:after="382"/>
        <w:ind w:firstLine="0" w:left="64" w:right="64"/>
      </w:pPr>
      <w:r>
        <w:t xml:space="preserve">Все муниципальные служащие, руководитель муниципального учреждения </w:t>
      </w:r>
      <w:r>
        <w:t>предоставили справки</w:t>
      </w:r>
      <w:r>
        <w:t xml:space="preserve"> с использование СПО «Справка БК»</w:t>
      </w:r>
    </w:p>
    <w:p w14:paraId="12000000">
      <w:pPr>
        <w:spacing w:after="0" w:line="240" w:lineRule="auto"/>
        <w:ind w:hanging="10" w:left="10" w:right="28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7113269</wp:posOffset>
            </wp:positionH>
            <wp:positionV relativeFrom="page">
              <wp:posOffset>2600325</wp:posOffset>
            </wp:positionV>
            <wp:extent cx="4445" cy="8890"/>
            <wp:effectExtent b="0" l="0" r="0" t="0"/>
            <wp:wrapSquare distB="0" distL="114300" distR="114300" distT="0" wrapText="bothSides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4445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В связи с проведённым анализом сведений установлено, что всеми</w:t>
      </w:r>
      <w:r>
        <w:drawing>
          <wp:inline>
            <wp:extent cx="4445" cy="4445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00000">
      <w:pPr>
        <w:spacing w:after="0" w:line="240" w:lineRule="auto"/>
        <w:ind w:firstLine="0" w:left="58" w:right="0"/>
        <w:jc w:val="left"/>
      </w:pPr>
      <w:r>
        <w:drawing>
          <wp:inline>
            <wp:extent cx="4445" cy="4445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t>муниципальными служащими и руководителем муниципального учреждения соблюдены требования законодательства о представлении сведений о доходах, расходах об имуществе и обязательствах имущественного характера.</w:t>
      </w:r>
    </w:p>
    <w:p w14:paraId="14000000">
      <w:pPr>
        <w:spacing w:after="0"/>
        <w:ind w:firstLine="439" w:left="64" w:right="64"/>
      </w:pPr>
      <w:r>
        <w:t>Нарушений ограничений и запретов, установленных о муниципальной службе, связанных с предоставлением сведений о доходах, расходах, об имуществе и обязательствах имущественного характера супруг</w:t>
      </w:r>
      <w:r>
        <w:t>и(</w:t>
      </w:r>
      <w:r>
        <w:t>супруга) и несовершеннолетних детей, в том числе присутствие признаков конфликта интересов и иных нарушений законодательства Российской Федерации о противодействии коррупции не установлено.</w:t>
      </w:r>
    </w:p>
    <w:p w14:paraId="15000000">
      <w:pPr>
        <w:spacing w:after="0"/>
        <w:ind w:firstLine="0" w:left="64" w:right="64"/>
      </w:pPr>
    </w:p>
    <w:sectPr>
      <w:pgSz w:h="16840" w:orient="portrait" w:w="11900"/>
      <w:pgMar w:bottom="1382" w:footer="720" w:gutter="0" w:header="720" w:left="1720" w:right="734" w:top="11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88" w:line="264" w:lineRule="auto"/>
      <w:ind w:firstLine="573" w:left="0" w:right="101"/>
      <w:jc w:val="both"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Обычный1"/>
    <w:link w:val="Style_2_ch"/>
    <w:rPr>
      <w:rFonts w:ascii="Times New Roman" w:hAnsi="Times New Roman"/>
      <w:color w:val="000000"/>
      <w:sz w:val="28"/>
    </w:rPr>
  </w:style>
  <w:style w:styleId="Style_2_ch" w:type="character">
    <w:name w:val="Обычный1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rFonts w:ascii="XO Thames" w:hAnsi="XO Thames"/>
    </w:rPr>
  </w:style>
  <w:style w:styleId="Style_15_ch" w:type="character">
    <w:name w:val="Header and Footer"/>
    <w:link w:val="Style_15"/>
    <w:rPr>
      <w:rFonts w:ascii="XO Thames" w:hAnsi="XO Thames"/>
    </w:rPr>
  </w:style>
  <w:style w:styleId="Style_16" w:type="paragraph">
    <w:name w:val="toc 9"/>
    <w:next w:val="Style_1"/>
    <w:link w:val="Style_16_ch"/>
    <w:uiPriority w:val="39"/>
    <w:pPr>
      <w:ind w:firstLine="0" w:left="1600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1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media/13.jpeg" Type="http://schemas.openxmlformats.org/officeDocument/2006/relationships/image"/>
  <Relationship Id="rId11" Target="media/11.jpeg" Type="http://schemas.openxmlformats.org/officeDocument/2006/relationships/image"/>
  <Relationship Id="rId18" Target="stylesWithEffects.xml" Type="http://schemas.microsoft.com/office/2007/relationships/stylesWithEffects"/>
  <Relationship Id="rId17" Target="styles.xml" Type="http://schemas.openxmlformats.org/officeDocument/2006/relationships/styles"/>
  <Relationship Id="rId10" Target="media/10.jpeg" Type="http://schemas.openxmlformats.org/officeDocument/2006/relationships/image"/>
  <Relationship Id="rId15" Target="fontTable.xml" Type="http://schemas.openxmlformats.org/officeDocument/2006/relationships/fontTable"/>
  <Relationship Id="rId9" Target="media/9.jpeg" Type="http://schemas.openxmlformats.org/officeDocument/2006/relationships/image"/>
  <Relationship Id="rId20" Target="theme/theme1.xml" Type="http://schemas.openxmlformats.org/officeDocument/2006/relationships/theme"/>
  <Relationship Id="rId19" Target="webSettings.xml" Type="http://schemas.openxmlformats.org/officeDocument/2006/relationships/webSettings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6" Target="settings.xml" Type="http://schemas.openxmlformats.org/officeDocument/2006/relationships/settings"/>
  <Relationship Id="rId12" Target="media/12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2025-04-23T06:31:34Z</dcterms:modified>
</cp:coreProperties>
</file>