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Отчет об исполнении плана реализации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системы»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9 месяцев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х. Красный Десант                                                                          07 октября 202</w:t>
      </w:r>
      <w:r>
        <w:rPr>
          <w:rFonts w:cs="Times New Roman" w:ascii="Times New Roman" w:hAnsi="Times New Roman"/>
          <w:b/>
          <w:sz w:val="28"/>
          <w:szCs w:val="28"/>
        </w:rPr>
        <w:t>2 года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является ответственным исполнителем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 утверждена постановлением Администрации Поляковского сельского поселения от 11.10.2019г. № 123.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ассигнований, предусмотренных муниципальной программой на 2022 год за счет средств бюджета Поляковского сельского поселения, составляет 1 479,6 тыс.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по итогам </w:t>
      </w:r>
      <w:r>
        <w:rPr>
          <w:rFonts w:cs="Times New Roman"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2022 года составило </w:t>
      </w:r>
      <w:r>
        <w:rPr>
          <w:rFonts w:ascii="Times New Roman" w:hAnsi="Times New Roman"/>
          <w:sz w:val="28"/>
          <w:szCs w:val="28"/>
        </w:rPr>
        <w:t>1232,0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83,3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две подпрограммы:</w:t>
      </w:r>
    </w:p>
    <w:p>
      <w:pPr>
        <w:pStyle w:val="ConsPlusCell"/>
        <w:suppressAutoHyphens w:val="true"/>
        <w:ind w:firstLine="708"/>
        <w:jc w:val="both"/>
        <w:rPr/>
      </w:pP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1. </w:t>
      </w:r>
      <w:r>
        <w:rPr>
          <w:sz w:val="28"/>
          <w:szCs w:val="28"/>
        </w:rPr>
        <w:t>Развитие транспортной инфраструктуры Поляковского сельского поселения;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>
          <w:sz w:val="28"/>
          <w:szCs w:val="28"/>
        </w:rPr>
        <w:tab/>
        <w:tab/>
      </w: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2. </w:t>
      </w:r>
      <w:r>
        <w:rPr>
          <w:sz w:val="28"/>
          <w:szCs w:val="28"/>
        </w:rPr>
        <w:t>Повышение безопасности дорожного движения на территории Поляковского сельского поселения.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/>
        <w:tab/>
        <w:tab/>
      </w:r>
      <w:r>
        <w:rPr>
          <w:sz w:val="28"/>
          <w:szCs w:val="28"/>
          <w:u w:val="single"/>
        </w:rPr>
        <w:t xml:space="preserve">Подпрограмма 1 </w:t>
      </w:r>
      <w:r>
        <w:rPr>
          <w:sz w:val="28"/>
          <w:szCs w:val="28"/>
        </w:rPr>
        <w:t>«Развитие транспортной инфраструктуры Поляковского сельского поселения»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1 выполнены следующие мероприятия: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работы по уличному ремонту автомобильных дорог общего пользования местного значения в границах поселения в сумме </w:t>
      </w:r>
      <w:r>
        <w:rPr>
          <w:rFonts w:ascii="Times New Roman" w:hAnsi="Times New Roman"/>
          <w:sz w:val="28"/>
          <w:szCs w:val="28"/>
        </w:rPr>
        <w:t>1179,7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_DdeLink__538_2644506443"/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реализуются в течении 2022 года на постоянной основе.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u w:val="single"/>
        </w:rPr>
        <w:t>Подпрограмма  2</w:t>
      </w:r>
      <w:r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на территории Поляковского сельского поселения 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2 «Повышение безопасности дорожного движения на территории Поляковского сельского поселения»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«Повышение безопасности дорожного движения на территории Поляковского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на 2022 год предусмотрено 279,6 тыс. рублей.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1. работы по дорожной разметки на сумму 52,3 </w:t>
      </w:r>
      <w:r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течении 2022 года на постоянной основе.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907" w:right="73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            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исполнении плана реализации муниципальной программы Поляковского сельского поселения </w:t>
      </w:r>
      <w:r>
        <w:rPr>
          <w:rFonts w:ascii="Times New Roman" w:hAnsi="Times New Roman"/>
          <w:sz w:val="28"/>
          <w:szCs w:val="28"/>
        </w:rPr>
        <w:t>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отчетный период </w:t>
      </w:r>
      <w:r>
        <w:rPr>
          <w:rFonts w:cs="Times New Roman" w:ascii="Times New Roman" w:hAnsi="Times New Roman"/>
          <w:sz w:val="28"/>
          <w:szCs w:val="28"/>
        </w:rPr>
        <w:t xml:space="preserve">9 месяцев </w:t>
      </w:r>
      <w:r>
        <w:rPr>
          <w:rFonts w:cs="Times New Roman" w:ascii="Times New Roman" w:hAnsi="Times New Roman"/>
          <w:sz w:val="28"/>
          <w:szCs w:val="28"/>
        </w:rPr>
        <w:t>2022 г.</w:t>
      </w:r>
    </w:p>
    <w:tbl>
      <w:tblPr>
        <w:tblW w:w="16019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8"/>
        <w:gridCol w:w="2693"/>
        <w:gridCol w:w="2693"/>
        <w:gridCol w:w="2268"/>
        <w:gridCol w:w="993"/>
        <w:gridCol w:w="1416"/>
        <w:gridCol w:w="1479"/>
        <w:gridCol w:w="1418"/>
        <w:gridCol w:w="993"/>
        <w:gridCol w:w="17"/>
        <w:gridCol w:w="1479"/>
      </w:tblGrid>
      <w:tr>
        <w:trPr>
          <w:tblHeader w:val="true"/>
          <w:trHeight w:val="573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Факти-ческая дата начала</w:t>
              <w:br/>
              <w:t>реали-зации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6"/>
                  <w:szCs w:val="26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TableParagraph"/>
              <w:widowControl w:val="false"/>
              <w:spacing w:lineRule="auto" w:line="240" w:before="0" w:after="200"/>
              <w:ind w:left="55" w:right="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транспорт- ной инфраструктуры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1179,7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,3</w:t>
            </w:r>
          </w:p>
        </w:tc>
      </w:tr>
      <w:tr>
        <w:trPr>
          <w:trHeight w:val="26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сети</w:t>
            </w:r>
          </w:p>
          <w:p>
            <w:pPr>
              <w:pStyle w:val="TableParagraph"/>
              <w:spacing w:lineRule="exact" w:line="266" w:before="7" w:after="0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в полном объеме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1179,7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Поляковского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>
            <w:pPr>
              <w:pStyle w:val="TableParagraph"/>
              <w:ind w:left="55" w:right="6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безопасности</w:t>
            </w:r>
          </w:p>
          <w:p>
            <w:pPr>
              <w:pStyle w:val="TableParagraph"/>
              <w:widowControl w:val="false"/>
              <w:spacing w:lineRule="exact" w:line="207" w:before="0" w:after="200"/>
              <w:ind w:left="5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дорожного движения на территории Поляковского сельского поселения»»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Поляковского сельского поселения Сасина Н.И..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227,3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безопасности дорожного движения на территории Поляковского сельского поселения, включая 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5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</w:p>
          <w:tbl>
            <w:tblPr>
              <w:tblW w:w="2113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3"/>
            </w:tblGrid>
            <w:tr>
              <w:trPr>
                <w:trHeight w:val="261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1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нарушений правил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дорожного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движения на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территории Поляковского сельского поселение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227,3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 w:before="0" w:after="200"/>
              <w:ind w:left="5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нарушений правил дорожного движения на территории Поляковского сельского поселение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1232,0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247,6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&lt;1&gt;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По строке «Мероприятие» специалист, курирующий данное направление.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&lt;2&gt;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&lt;3&gt;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&lt;4&gt;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Заголовок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kern w:val="2"/>
      <w:sz w:val="26"/>
      <w:szCs w:val="26"/>
    </w:rPr>
  </w:style>
  <w:style w:type="character" w:styleId="ListLabel4">
    <w:name w:val="ListLabel 4"/>
    <w:qFormat/>
    <w:rPr>
      <w:bCs/>
      <w:kern w:val="2"/>
      <w:sz w:val="26"/>
      <w:szCs w:val="26"/>
    </w:rPr>
  </w:style>
  <w:style w:type="character" w:styleId="ListLabel5">
    <w:name w:val="ListLabel 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kern w:val="2"/>
      <w:sz w:val="26"/>
      <w:szCs w:val="26"/>
    </w:rPr>
  </w:style>
  <w:style w:type="character" w:styleId="ListLabel8">
    <w:name w:val="ListLabel 8"/>
    <w:qFormat/>
    <w:rPr>
      <w:bCs/>
      <w:kern w:val="2"/>
      <w:sz w:val="26"/>
      <w:szCs w:val="26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rFonts w:ascii="Times New Roman" w:hAnsi="Times New Roman" w:eastAsia="Times New Roman"/>
      <w:sz w:val="16"/>
      <w:szCs w:val="16"/>
      <w:lang w:eastAsia="ru-RU"/>
    </w:rPr>
  </w:style>
  <w:style w:type="character" w:styleId="ListLabel18">
    <w:name w:val="ListLabel 18"/>
    <w:qFormat/>
    <w:rPr>
      <w:rFonts w:cs="Times New Roman"/>
      <w:kern w:val="2"/>
      <w:sz w:val="27"/>
      <w:szCs w:val="27"/>
    </w:rPr>
  </w:style>
  <w:style w:type="character" w:styleId="ListLabel19">
    <w:name w:val="ListLabel 19"/>
    <w:qFormat/>
    <w:rPr>
      <w:sz w:val="26"/>
      <w:szCs w:val="26"/>
    </w:rPr>
  </w:style>
  <w:style w:type="character" w:styleId="ListLabel20">
    <w:name w:val="ListLabel 20"/>
    <w:qFormat/>
    <w:rPr>
      <w:rFonts w:ascii="Times New Roman" w:hAnsi="Times New Roman" w:eastAsia="Times New Roman"/>
      <w:sz w:val="16"/>
      <w:szCs w:val="16"/>
      <w:lang w:eastAsia="ru-RU"/>
    </w:rPr>
  </w:style>
  <w:style w:type="character" w:styleId="ListLabel21">
    <w:name w:val="ListLabel 21"/>
    <w:qFormat/>
    <w:rPr>
      <w:rFonts w:cs="Times New Roman"/>
      <w:kern w:val="2"/>
      <w:sz w:val="27"/>
      <w:szCs w:val="27"/>
    </w:rPr>
  </w:style>
  <w:style w:type="character" w:styleId="ListLabel22">
    <w:name w:val="ListLabel 22"/>
    <w:qFormat/>
    <w:rPr>
      <w:sz w:val="26"/>
      <w:szCs w:val="26"/>
    </w:rPr>
  </w:style>
  <w:style w:type="character" w:styleId="ListLabel23">
    <w:name w:val="ListLabel 23"/>
    <w:qFormat/>
    <w:rPr>
      <w:rFonts w:ascii="Times New Roman" w:hAnsi="Times New Roman" w:eastAsia="Times New Roman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2"/>
      <w:szCs w:val="22"/>
      <w:lang w:bidi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LibreOffice/6.0.4.2$Windows_x86 LibreOffice_project/9b0d9b32d5dcda91d2f1a96dc04c645c450872bf</Application>
  <Pages>5</Pages>
  <Words>722</Words>
  <Characters>5473</Characters>
  <CharactersWithSpaces>6267</CharactersWithSpaces>
  <Paragraphs>136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2020-07-10T05:05:00Z</dcterms:created>
  <dc:creator>DEPO</dc:creator>
  <dc:description/>
  <dc:language>ru-RU</dc:language>
  <cp:lastModifiedBy/>
  <cp:lastPrinted>2022-07-27T13:47:29Z</cp:lastPrinted>
  <dcterms:modified xsi:type="dcterms:W3CDTF">2022-10-03T15:52:38Z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