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/>
      </w:pPr>
      <w:r>
        <w:rPr/>
        <w:t xml:space="preserve">                                                       </w:t>
      </w:r>
      <w:r>
        <w:rPr/>
        <w:drawing>
          <wp:inline distT="0" distB="0" distL="0" distR="0">
            <wp:extent cx="922655" cy="11906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1" t="-39" r="-51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22"/>
        </w:rPr>
        <w:t xml:space="preserve">                           </w:t>
      </w:r>
      <w:r>
        <w:rPr>
          <w:b/>
          <w:bCs/>
          <w:sz w:val="32"/>
          <w:szCs w:val="22"/>
          <w:u w:val="single"/>
        </w:rPr>
        <w:t>ПРОЕКТ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НЕКЛИНОВСКИЙ РАЙОН</w:t>
      </w:r>
    </w:p>
    <w:p>
      <w:pPr>
        <w:pStyle w:val="Normal"/>
        <w:jc w:val="center"/>
        <w:rPr/>
      </w:pPr>
      <w:r>
        <w:rPr>
          <w:sz w:val="26"/>
          <w:szCs w:val="26"/>
        </w:rPr>
        <w:t>МУНИЦИПАЛЬНОЕ ОБРАЗОВАНИЕ «ПОЛЯКОВСКОЕ СЕЛЬСКОЕ ПОСЕЛЕНИЕ»</w:t>
      </w:r>
    </w:p>
    <w:p>
      <w:pPr>
        <w:pStyle w:val="Normal"/>
        <w:pBdr>
          <w:bottom w:val="single" w:sz="8" w:space="2" w:color="000000"/>
        </w:pBdr>
        <w:jc w:val="center"/>
        <w:rPr/>
      </w:pPr>
      <w:r>
        <w:rPr>
          <w:b/>
          <w:sz w:val="28"/>
          <w:szCs w:val="28"/>
        </w:rPr>
        <w:t>АДМИНИСТРАЦИЯ ПОЛЯКОВСКОГО СЕЛЬСКОГО ПОСЕЛЕНИЯ</w:t>
      </w:r>
    </w:p>
    <w:p>
      <w:pPr>
        <w:pStyle w:val="Normal"/>
        <w:suppressAutoHyphens w:val="true"/>
        <w:jc w:val="center"/>
        <w:rPr>
          <w:b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b/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ПОСТАНОВЛЕНИЕ</w:t>
      </w:r>
    </w:p>
    <w:p>
      <w:pPr>
        <w:pStyle w:val="Normal"/>
        <w:suppressAutoHyphens w:val="true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</w:r>
    </w:p>
    <w:p>
      <w:pPr>
        <w:pStyle w:val="Normal"/>
        <w:suppressAutoHyphens w:val="true"/>
        <w:jc w:val="center"/>
        <w:rPr/>
      </w:pPr>
      <w:r>
        <w:rPr>
          <w:sz w:val="24"/>
          <w:szCs w:val="24"/>
          <w:lang w:eastAsia="ar-SA"/>
        </w:rPr>
        <w:t xml:space="preserve">от ________________2022г. № </w:t>
      </w:r>
    </w:p>
    <w:p>
      <w:pPr>
        <w:pStyle w:val="Normal"/>
        <w:suppressAutoHyphens w:val="true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х. Красный Десант</w:t>
      </w:r>
    </w:p>
    <w:p>
      <w:pPr>
        <w:pStyle w:val="Normal"/>
        <w:jc w:val="center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</w:r>
    </w:p>
    <w:p>
      <w:pPr>
        <w:pStyle w:val="Normal"/>
        <w:spacing w:lineRule="auto" w:line="228"/>
        <w:jc w:val="center"/>
        <w:rPr/>
      </w:pPr>
      <w:r>
        <w:rPr>
          <w:b/>
          <w:sz w:val="26"/>
          <w:szCs w:val="26"/>
        </w:rPr>
        <w:t>Об утверждении отчета о реализации муниципальной программы 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поселения» за 2021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/>
      </w:pPr>
      <w:r>
        <w:rPr>
          <w:sz w:val="26"/>
          <w:szCs w:val="26"/>
        </w:rPr>
        <w:t xml:space="preserve">В соответствии с </w:t>
      </w:r>
      <w:r>
        <w:rPr>
          <w:bCs/>
          <w:sz w:val="26"/>
          <w:szCs w:val="26"/>
        </w:rPr>
        <w:t>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</w:t>
      </w:r>
      <w:r>
        <w:rPr>
          <w:sz w:val="26"/>
          <w:szCs w:val="26"/>
        </w:rPr>
        <w:t xml:space="preserve">, распоряжением Администрации </w:t>
      </w:r>
      <w:r>
        <w:rPr>
          <w:bCs/>
          <w:sz w:val="26"/>
          <w:szCs w:val="26"/>
        </w:rPr>
        <w:t>Поляковского сельского</w:t>
      </w:r>
      <w:r>
        <w:rPr>
          <w:sz w:val="26"/>
          <w:szCs w:val="26"/>
        </w:rPr>
        <w:t xml:space="preserve"> поселения от 23.03.2018 №15 «Об утверждении Методических рекомендаций по разработке и реализации муниципальных программ Поляковского сельского поселения», </w:t>
      </w:r>
      <w:r>
        <w:rPr>
          <w:bCs/>
          <w:sz w:val="26"/>
          <w:szCs w:val="26"/>
        </w:rPr>
        <w:t xml:space="preserve">Администрация Поляковского сельского поселения </w:t>
      </w:r>
      <w:r>
        <w:rPr>
          <w:b/>
          <w:sz w:val="30"/>
          <w:szCs w:val="30"/>
        </w:rPr>
        <w:t>п о с т а н о в л я е т:</w:t>
      </w:r>
    </w:p>
    <w:p>
      <w:pPr>
        <w:pStyle w:val="Normal"/>
        <w:suppressAutoHyphens w:val="true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uppressAutoHyphens w:val="true"/>
        <w:ind w:firstLine="709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sz w:val="26"/>
          <w:szCs w:val="26"/>
        </w:rPr>
        <w:t xml:space="preserve">Утвердить отчет о реализации в 2021 году муниципальной программы </w:t>
      </w:r>
      <w:r>
        <w:rPr>
          <w:bCs/>
          <w:sz w:val="26"/>
          <w:szCs w:val="26"/>
        </w:rPr>
        <w:t>Поляковского сельского</w:t>
      </w:r>
      <w:r>
        <w:rPr>
          <w:sz w:val="26"/>
          <w:szCs w:val="26"/>
        </w:rPr>
        <w:t xml:space="preserve"> поселения </w:t>
      </w:r>
      <w:r>
        <w:rPr>
          <w:b w:val="false"/>
          <w:bCs w:val="false"/>
          <w:sz w:val="26"/>
          <w:szCs w:val="26"/>
        </w:rPr>
        <w:t>«Обеспечение качественными коммунальными услугами населения и повышение уровня благоустройства территории Поляковского  сельского поселения»</w:t>
      </w:r>
      <w:r>
        <w:rPr>
          <w:sz w:val="26"/>
          <w:szCs w:val="26"/>
        </w:rPr>
        <w:t xml:space="preserve"> согласно приложению к настоящему постановлению.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>
      <w:pPr>
        <w:pStyle w:val="Normal"/>
        <w:numPr>
          <w:ilvl w:val="0"/>
          <w:numId w:val="2"/>
        </w:numPr>
        <w:suppressAutoHyphens w:val="true"/>
        <w:jc w:val="both"/>
        <w:rPr/>
      </w:pPr>
      <w:r>
        <w:rPr>
          <w:sz w:val="26"/>
          <w:szCs w:val="26"/>
        </w:rPr>
        <w:t>Контроль за выполнением постановления оставляю за собой.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         </w:t>
      </w:r>
      <w:bookmarkStart w:id="0" w:name="__DdeLink__3154_2939562310"/>
      <w:r>
        <w:rPr>
          <w:b/>
          <w:bCs/>
          <w:sz w:val="26"/>
          <w:szCs w:val="26"/>
        </w:rPr>
        <w:t>Глава Администрации</w:t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>Поляковског</w:t>
      </w:r>
      <w:r>
        <w:rPr>
          <w:b/>
          <w:sz w:val="26"/>
          <w:szCs w:val="26"/>
        </w:rPr>
        <w:t>о сельского поселения</w:t>
        <w:tab/>
        <w:tab/>
        <w:tab/>
        <w:t xml:space="preserve">                </w:t>
        <w:tab/>
        <w:t xml:space="preserve">          </w:t>
      </w:r>
      <w:bookmarkEnd w:id="0"/>
      <w:r>
        <w:rPr>
          <w:b/>
          <w:sz w:val="26"/>
          <w:szCs w:val="26"/>
        </w:rPr>
        <w:t>А.Н.Галицкий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left" w:pos="135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350" w:leader="none"/>
        </w:tabs>
        <w:jc w:val="right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>
      <w:pPr>
        <w:pStyle w:val="Normal"/>
        <w:tabs>
          <w:tab w:val="left" w:pos="135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tabs>
          <w:tab w:val="left" w:pos="1350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Поляковского сельского поселения</w:t>
      </w:r>
    </w:p>
    <w:p>
      <w:pPr>
        <w:pStyle w:val="Normal"/>
        <w:tabs>
          <w:tab w:val="left" w:pos="1350" w:leader="none"/>
        </w:tabs>
        <w:jc w:val="right"/>
        <w:rPr/>
      </w:pPr>
      <w:r>
        <w:rPr>
          <w:sz w:val="24"/>
          <w:szCs w:val="24"/>
        </w:rPr>
        <w:t xml:space="preserve">от  ______________2022г.  № </w:t>
      </w:r>
    </w:p>
    <w:p>
      <w:pPr>
        <w:pStyle w:val="Normal"/>
        <w:tabs>
          <w:tab w:val="left" w:pos="1350" w:leader="none"/>
        </w:tabs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1350" w:leader="none"/>
        </w:tabs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tabs>
          <w:tab w:val="left" w:pos="1350" w:leader="none"/>
        </w:tabs>
        <w:spacing w:lineRule="auto" w:line="240" w:before="0" w:after="0"/>
        <w:contextualSpacing/>
        <w:jc w:val="center"/>
        <w:rPr>
          <w:szCs w:val="28"/>
        </w:rPr>
      </w:pPr>
      <w:r>
        <w:rPr>
          <w:b/>
          <w:bCs/>
          <w:sz w:val="28"/>
          <w:szCs w:val="28"/>
        </w:rPr>
        <w:t>Отчет</w:t>
      </w:r>
    </w:p>
    <w:p>
      <w:pPr>
        <w:pStyle w:val="ListParagraph"/>
        <w:spacing w:lineRule="auto" w:line="240" w:before="0" w:after="0"/>
        <w:contextualSpacing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реализации в 2021 году муниципальной программы 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 »</w:t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center"/>
        <w:rPr>
          <w:szCs w:val="28"/>
        </w:rPr>
      </w:pPr>
      <w:r>
        <w:rPr>
          <w:b w:val="false"/>
          <w:bCs w:val="false"/>
          <w:sz w:val="28"/>
          <w:szCs w:val="28"/>
        </w:rPr>
        <w:t>Раздел 1.</w:t>
      </w:r>
      <w:r>
        <w:rPr>
          <w:b/>
          <w:bCs/>
          <w:sz w:val="28"/>
          <w:szCs w:val="28"/>
        </w:rPr>
        <w:t xml:space="preserve"> Конкретные результаты реализации муниципальной программы,</w:t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достигнутые за 2021 год</w:t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szCs w:val="28"/>
        </w:rPr>
      </w:pPr>
      <w:r>
        <w:rPr>
          <w:sz w:val="28"/>
          <w:szCs w:val="28"/>
        </w:rPr>
        <w:tab/>
        <w:t>В соответствии с Перечнем муниципальных программ Поляковского сельского поселения, утвержденным распоряжением Администрации Поляковского сельского поселения от 19.06.2018г. №42, Администрация Поляковского сельского поселения  является ответственным исполнителем муниципальной программы Поляковского сельского поселения «Обеспечение качественными жилищно-коммунальными услугами населения Поляковского сельского поселения».</w:t>
      </w:r>
    </w:p>
    <w:p>
      <w:pPr>
        <w:pStyle w:val="Normal"/>
        <w:spacing w:lineRule="auto" w:line="240"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ab/>
        <w:t>Муниципальная программа «Обеспечение качественными жилищно-коммунальными услугами населения Поляковского сельского поселения» утверждена постановлением Администрации Поляковского сельского поселения от 12.10.2018г. № 102.</w:t>
      </w:r>
    </w:p>
    <w:p>
      <w:pPr>
        <w:pStyle w:val="Normal"/>
        <w:spacing w:lineRule="auto" w:line="240"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Поляковского сельского поселения от 29.12.2020г. №134 утвержден план реализации муниципальной программы на 2021 год.</w:t>
      </w:r>
    </w:p>
    <w:p>
      <w:pPr>
        <w:pStyle w:val="Normal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муниципальной программы в 2021 году предусмотрено 2281,0 тыс рублей. Фактическое освоение средств муниципальной программы по итогам 2021 года составило 2280,7 тыс рублей, или 99,9%.</w:t>
      </w:r>
    </w:p>
    <w:p>
      <w:pPr>
        <w:pStyle w:val="Normal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2021 года обеспечена положительная динамика основных показателей бюджета Поляковского сельского поселения Неклиновского района относительно уровня 2020 года.</w:t>
      </w:r>
    </w:p>
    <w:p>
      <w:pPr>
        <w:pStyle w:val="Normal"/>
        <w:spacing w:lineRule="auto" w:line="240"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left" w:pos="0" w:leader="none"/>
        </w:tabs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hanging="0"/>
        <w:contextualSpacing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Результаты реализации основных мероприятий в разрезе подпрограмм муниципальной программы, а также сведения о достижении контрольных событий муниципальной программы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Достижению результатов в 2021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Style w:val="Fontstyle01"/>
          <w:sz w:val="28"/>
          <w:szCs w:val="28"/>
        </w:rPr>
        <w:t>Все запланированные в отчетном периоде основные мероприятия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подпрограмм выполнялись согласно Плану реализации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программы </w:t>
      </w:r>
      <w:r>
        <w:rPr>
          <w:rFonts w:eastAsia="TimesNewRoman"/>
          <w:kern w:val="2"/>
          <w:sz w:val="28"/>
          <w:szCs w:val="28"/>
        </w:rPr>
        <w:t xml:space="preserve">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поселения» за 2021 год </w:t>
      </w:r>
      <w:r>
        <w:rPr>
          <w:rStyle w:val="Fontstyle01"/>
          <w:sz w:val="28"/>
          <w:szCs w:val="28"/>
        </w:rPr>
        <w:t>(далее – План реализации).</w:t>
      </w: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Муниципальная программа «Обеспечение качественными коммунальными услугами населения и повышение уровня благоустройства территории Поляковского  сельского поселения» включает в себя следующую подпрограмму: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Подпрограмма 1 – «Создание условий для обеспечения качественными коммунальными услугами населения Поляковского сельского поселения</w:t>
      </w:r>
      <w:r>
        <w:rPr>
          <w:bCs/>
          <w:sz w:val="28"/>
          <w:szCs w:val="28"/>
          <w:lang w:eastAsia="en-US"/>
        </w:rPr>
        <w:t>»;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  <w:lang w:eastAsia="en-US"/>
        </w:rPr>
        <w:t>Подпрограмма 2 – «Повышение уровня благоустройства территории Поляковского сельского поселения</w:t>
      </w:r>
      <w:r>
        <w:rPr>
          <w:bCs/>
          <w:sz w:val="28"/>
          <w:szCs w:val="28"/>
          <w:lang w:eastAsia="en-US"/>
        </w:rPr>
        <w:t>»;</w:t>
      </w:r>
    </w:p>
    <w:p>
      <w:pPr>
        <w:pStyle w:val="Default"/>
        <w:spacing w:lineRule="auto" w:line="240"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основных мероприятий подпрограммы 2 «</w:t>
      </w:r>
      <w:r>
        <w:rPr>
          <w:sz w:val="28"/>
          <w:szCs w:val="28"/>
          <w:lang w:eastAsia="en-US"/>
        </w:rPr>
        <w:t>Повышение уровня благоустройства территории Поляковского сельского поселения</w:t>
      </w:r>
      <w:r>
        <w:rPr>
          <w:sz w:val="28"/>
          <w:szCs w:val="28"/>
        </w:rPr>
        <w:t xml:space="preserve">» (далее – подпрограмма 1) на 2021 год предусмотрено  </w:t>
      </w:r>
      <w:r>
        <w:rPr>
          <w:rFonts w:eastAsia="Times New Roman" w:cs="Times New Roman"/>
          <w:bCs/>
          <w:color w:val="000000"/>
          <w:kern w:val="2"/>
          <w:sz w:val="28"/>
          <w:szCs w:val="28"/>
        </w:rPr>
        <w:t>2281,0</w:t>
      </w:r>
      <w:r>
        <w:rPr>
          <w:sz w:val="28"/>
          <w:szCs w:val="28"/>
        </w:rPr>
        <w:t xml:space="preserve"> тыс. рублей. По состоянию на 31.12.2021 фактическое освоение средств составило 2280,7 тыс. рублей.</w:t>
      </w:r>
    </w:p>
    <w:p>
      <w:pPr>
        <w:pStyle w:val="Normal"/>
        <w:spacing w:lineRule="auto" w:line="240"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рамках подпрограммы «Повышение уровня благоустройства территории Поляковского сельского поселения» производились следующие мероприятия:</w:t>
      </w:r>
    </w:p>
    <w:p>
      <w:pPr>
        <w:pStyle w:val="Normal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 организации освещения улиц в населенных пунктах сельского поселения;</w:t>
      </w:r>
    </w:p>
    <w:p>
      <w:pPr>
        <w:pStyle w:val="Normal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 содержанию мест захоронения в сельском поселении;</w:t>
      </w:r>
    </w:p>
    <w:p>
      <w:pPr>
        <w:pStyle w:val="Normal"/>
        <w:spacing w:lineRule="auto" w:line="240" w:before="0" w:after="0"/>
        <w:ind w:hanging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-о</w:t>
      </w:r>
      <w:r>
        <w:rPr>
          <w:bCs/>
          <w:sz w:val="28"/>
          <w:szCs w:val="28"/>
        </w:rPr>
        <w:t>рганизация прочих работ по благоустройству</w:t>
      </w:r>
      <w:r>
        <w:rPr>
          <w:kern w:val="2"/>
          <w:sz w:val="28"/>
          <w:szCs w:val="28"/>
        </w:rPr>
        <w:t xml:space="preserve"> сельского поселения.</w:t>
      </w:r>
    </w:p>
    <w:p>
      <w:pPr>
        <w:pStyle w:val="Normal"/>
        <w:spacing w:lineRule="auto" w:line="240" w:before="0" w:after="0"/>
        <w:ind w:hanging="0"/>
        <w:contextualSpacing/>
        <w:jc w:val="left"/>
        <w:rPr>
          <w:kern w:val="2"/>
        </w:rPr>
      </w:pPr>
      <w:r>
        <w:rPr>
          <w:kern w:val="2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  <w:lang w:eastAsia="zh-CN"/>
        </w:rPr>
        <w:t xml:space="preserve">Сведения о выполнении основных мероприятий, </w:t>
      </w:r>
      <w:r>
        <w:rPr>
          <w:i/>
          <w:kern w:val="2"/>
          <w:sz w:val="28"/>
          <w:szCs w:val="28"/>
          <w:lang w:eastAsia="zh-CN"/>
        </w:rPr>
        <w:t xml:space="preserve">приоритетных основных мероприятий </w:t>
      </w:r>
      <w:r>
        <w:rPr>
          <w:i/>
          <w:sz w:val="28"/>
          <w:szCs w:val="28"/>
          <w:lang w:eastAsia="zh-CN"/>
        </w:rPr>
        <w:t xml:space="preserve">и мероприятий ведомственных целевых программ, а также контрольных событий муниципальной программы приведены в приложении к отчету о реализации муниципальной программы по форме </w:t>
      </w:r>
      <w:r>
        <w:rPr>
          <w:i/>
          <w:sz w:val="28"/>
          <w:szCs w:val="28"/>
          <w:lang w:eastAsia="en-US"/>
        </w:rPr>
        <w:t xml:space="preserve">таблицы №11 </w:t>
      </w:r>
      <w:r>
        <w:rPr>
          <w:i/>
          <w:sz w:val="28"/>
          <w:szCs w:val="28"/>
          <w:lang w:eastAsia="zh-CN"/>
        </w:rPr>
        <w:t>к Методическим рекомендациям по разработке и реализации муниципальных программ Поляковского сельского поселения, утвержденным распоряжением Администрации Поляковского сельского поселения от 23.03.2018 №15 (далее-Методические рекомендации).</w:t>
      </w:r>
    </w:p>
    <w:p>
      <w:pPr>
        <w:pStyle w:val="Default"/>
        <w:spacing w:lineRule="auto" w:line="240" w:before="0" w:after="0"/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center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Анализ факторов, повлиявших на ход реализации муниципальной программы. </w:t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Cs w:val="28"/>
          <w:lang w:eastAsia="en-US"/>
        </w:rPr>
      </w:pPr>
      <w:r>
        <w:rPr>
          <w:sz w:val="28"/>
          <w:szCs w:val="28"/>
          <w:lang w:eastAsia="en-US"/>
        </w:rPr>
        <w:t>В ходе анализа и мониторинга исполнения плана реализации муниципальной программы установлено, 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center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Раздел </w:t>
      </w:r>
      <w:r>
        <w:rPr>
          <w:sz w:val="28"/>
          <w:szCs w:val="28"/>
        </w:rPr>
        <w:t>4.</w:t>
      </w:r>
      <w:r>
        <w:rPr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Сведения об использовании бюджетных ассигнований и внебюджетных средств на реализацию мероприятий муниципальной программы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На реализацию муниципальной программы в 2021 году предусмотрено 2281,0 тыс. рублей. Фактическое освоение средств муниципальной программы по итогам 2021 года составило 2280,7 тыс. рублей, или 99,9%.</w:t>
      </w:r>
    </w:p>
    <w:p>
      <w:pPr>
        <w:pStyle w:val="Normal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Все средства использованы по целевому назначению, объем неосвоенных средств составил 0,3 тыс.рублей в связи с экономией средств.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муниципальной программы, данные о расходах за счет бюджета Поляковского сельского поселения и областного бюджета </w:t>
      </w:r>
      <w:r>
        <w:rPr>
          <w:i/>
          <w:sz w:val="28"/>
          <w:szCs w:val="28"/>
          <w:lang w:eastAsia="zh-CN"/>
        </w:rPr>
        <w:t xml:space="preserve">приведены в приложении к отчету о реализации муниципальной программы по форме </w:t>
      </w:r>
      <w:r>
        <w:rPr>
          <w:i/>
          <w:sz w:val="28"/>
          <w:szCs w:val="28"/>
          <w:lang w:eastAsia="en-US"/>
        </w:rPr>
        <w:t xml:space="preserve">таблицы №12 </w:t>
      </w:r>
      <w:r>
        <w:rPr>
          <w:i/>
          <w:sz w:val="28"/>
          <w:szCs w:val="28"/>
          <w:lang w:eastAsia="zh-CN"/>
        </w:rPr>
        <w:t>к Методическим рекомендациям</w:t>
      </w:r>
      <w:r>
        <w:rPr>
          <w:i/>
          <w:sz w:val="28"/>
          <w:szCs w:val="28"/>
          <w:lang w:eastAsia="en-US"/>
        </w:rPr>
        <w:t>.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5. </w:t>
      </w:r>
      <w:r>
        <w:rPr>
          <w:b/>
          <w:bCs/>
          <w:sz w:val="28"/>
          <w:szCs w:val="28"/>
          <w:lang w:eastAsia="en-US"/>
        </w:rPr>
        <w:t>Сведения о достижении значений показателей (индикаторов)</w:t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муниципальной программы, подпрограмм муниципальной программы за 2021 год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Муниципальной программой «Обеспечение качественными коммунальными услугами населения и повышение уровня благоустройства территории Поляковского  сельского поселения» и </w:t>
      </w:r>
      <w:r>
        <w:rPr>
          <w:sz w:val="28"/>
          <w:szCs w:val="28"/>
        </w:rPr>
        <w:t xml:space="preserve">подпрограммами муниципальными программы </w:t>
      </w:r>
      <w:r>
        <w:rPr>
          <w:sz w:val="28"/>
          <w:szCs w:val="28"/>
          <w:lang w:eastAsia="en-US"/>
        </w:rPr>
        <w:t>предусмотрено 4 показателей, по 4 из которых фактические значения соответствуют плановым.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  <w:lang w:eastAsia="en-US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</w:t>
      </w:r>
      <w:r>
        <w:rPr>
          <w:i/>
          <w:sz w:val="26"/>
          <w:szCs w:val="26"/>
          <w:lang w:eastAsia="en-US"/>
        </w:rPr>
        <w:t xml:space="preserve"> </w:t>
      </w:r>
      <w:r>
        <w:rPr>
          <w:i/>
          <w:sz w:val="28"/>
          <w:szCs w:val="28"/>
          <w:lang w:eastAsia="zh-CN"/>
        </w:rPr>
        <w:t xml:space="preserve">в приложении к отчету о реализации муниципальной программы по форме </w:t>
      </w:r>
      <w:r>
        <w:rPr>
          <w:i/>
          <w:sz w:val="28"/>
          <w:szCs w:val="28"/>
          <w:lang w:eastAsia="en-US"/>
        </w:rPr>
        <w:t xml:space="preserve">таблицы №13 </w:t>
      </w:r>
      <w:r>
        <w:rPr>
          <w:i/>
          <w:sz w:val="28"/>
          <w:szCs w:val="28"/>
          <w:lang w:eastAsia="zh-CN"/>
        </w:rPr>
        <w:t>к Методическим рекомендациям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>
          <w:i/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center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eastAsia="en-US"/>
        </w:rPr>
        <w:t xml:space="preserve">Раздел </w:t>
      </w:r>
      <w:r>
        <w:rPr>
          <w:sz w:val="28"/>
          <w:szCs w:val="28"/>
          <w:lang w:eastAsia="en-US"/>
        </w:rPr>
        <w:t xml:space="preserve">6. </w:t>
      </w:r>
      <w:r>
        <w:rPr>
          <w:b/>
          <w:bCs/>
          <w:sz w:val="28"/>
          <w:szCs w:val="28"/>
          <w:lang w:eastAsia="en-US"/>
        </w:rPr>
        <w:t xml:space="preserve">Результаты оценки эффективности реализации муниципальной программы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Информация о возникновении экономии бюджетных ассигнований на реализацию основных мероприятий муниципальной программы направлена в финансово – экономический отдел администрации </w:t>
      </w:r>
      <w:r>
        <w:rPr>
          <w:rFonts w:eastAsia="Calibri"/>
          <w:sz w:val="28"/>
          <w:szCs w:val="28"/>
          <w:lang w:eastAsia="en-US"/>
        </w:rPr>
        <w:t>Поляковского сельского поселения</w:t>
      </w:r>
      <w:r>
        <w:rPr>
          <w:sz w:val="28"/>
          <w:szCs w:val="28"/>
          <w:lang w:eastAsia="en-US"/>
        </w:rPr>
        <w:t xml:space="preserve"> по форме таблицы 14 к Методическим рекомендациям.  Сумма экономии в 2021 году составила 0,3 тыс. рублей.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Софинансирование расходных обязательств Ростовской области и Неклиновского района при реализации основных мероприятий муниципальной программы не предусмотрено.</w:t>
      </w:r>
    </w:p>
    <w:p>
      <w:pPr>
        <w:pStyle w:val="Normal"/>
        <w:widowControl w:val="false"/>
        <w:shd w:val="clear" w:fill="FFFFFF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sz w:val="28"/>
          <w:szCs w:val="28"/>
          <w:lang w:eastAsia="en-US"/>
        </w:rPr>
        <w:t>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sz w:val="27"/>
          <w:szCs w:val="27"/>
        </w:rPr>
      </w:pPr>
      <w:r>
        <w:rPr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программы:</w:t>
      </w:r>
    </w:p>
    <w:p>
      <w:pPr>
        <w:pStyle w:val="Normal"/>
        <w:suppressAutoHyphens w:val="true"/>
        <w:spacing w:lineRule="auto" w:line="240" w:before="0" w:after="0"/>
        <w:ind w:left="709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= 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/ 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>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kern w:val="2"/>
          <w:sz w:val="27"/>
          <w:szCs w:val="27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программой.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Индикатор  программы: – достигнут, 1</w:t>
      </w:r>
    </w:p>
    <w:p>
      <w:pPr>
        <w:pStyle w:val="Normal"/>
        <w:suppressAutoHyphens w:val="true"/>
        <w:spacing w:lineRule="auto" w:line="240" w:before="0" w:after="0"/>
        <w:ind w:left="707"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- Подпрограмма 2: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индикатор 2.1: 2280,7/ 2281= 1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2) Суммарная оценка степени достижения целевых показателей муниципальной программы:</w:t>
      </w:r>
    </w:p>
    <w:p>
      <w:pPr>
        <w:pStyle w:val="Normal"/>
        <w:shd w:val="clear" w:fill="FFFFFF"/>
        <w:suppressAutoHyphens w:val="true"/>
        <w:spacing w:lineRule="auto" w:line="240" w:before="0" w:after="0"/>
        <w:contextualSpacing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1431290" cy="56324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0" t="-154" r="-60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kern w:val="2"/>
          <w:sz w:val="28"/>
          <w:szCs w:val="28"/>
          <w:lang w:eastAsia="en-US"/>
        </w:rPr>
        <w:t>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kern w:val="2"/>
          <w:sz w:val="27"/>
          <w:szCs w:val="27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о</w:t>
      </w:r>
      <w:r>
        <w:rPr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val="en-US" w:eastAsia="en-US"/>
        </w:rPr>
        <w:t>i</w:t>
      </w:r>
      <w:r>
        <w:rPr>
          <w:kern w:val="2"/>
          <w:sz w:val="28"/>
          <w:szCs w:val="28"/>
          <w:lang w:eastAsia="en-US"/>
        </w:rPr>
        <w:t xml:space="preserve"> – номер показателя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  <w:lang w:val="en-US" w:eastAsia="en-US"/>
        </w:rPr>
        <w:t>n</w:t>
      </w:r>
      <w:r>
        <w:rPr>
          <w:kern w:val="2"/>
          <w:sz w:val="28"/>
          <w:szCs w:val="28"/>
          <w:lang w:eastAsia="en-US"/>
        </w:rPr>
        <w:t xml:space="preserve"> – количество целевых показателей муниципальной программы.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</w:t>
      </w:r>
      <w:r>
        <w:rPr>
          <w:sz w:val="28"/>
          <w:szCs w:val="28"/>
          <w:lang w:eastAsia="zh-CN"/>
        </w:rPr>
        <w:t xml:space="preserve">1,0 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eastAsia="zh-CN"/>
        </w:rPr>
        <w:t>С</w:t>
      </w:r>
      <w:r>
        <w:rPr>
          <w:sz w:val="28"/>
          <w:szCs w:val="28"/>
          <w:vertAlign w:val="subscript"/>
          <w:lang w:eastAsia="zh-CN"/>
        </w:rPr>
        <w:t xml:space="preserve">о </w:t>
      </w:r>
      <w:r>
        <w:rPr>
          <w:sz w:val="28"/>
          <w:szCs w:val="28"/>
          <w:lang w:eastAsia="zh-CN"/>
        </w:rPr>
        <w:t>= -------------------- = 1,00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ab/>
        <w:tab/>
        <w:tab/>
        <w:tab/>
        <w:tab/>
        <w:t xml:space="preserve">     1,0</w:t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программы составляет 1,00. Данный показатель характеризует  </w:t>
      </w:r>
      <w:r>
        <w:rPr>
          <w:rFonts w:eastAsia="Calibri" w:cs="Times New Roman"/>
          <w:kern w:val="2"/>
          <w:sz w:val="28"/>
          <w:szCs w:val="28"/>
          <w:lang w:val="ru-RU" w:eastAsia="en-US" w:bidi="ar-SA"/>
        </w:rPr>
        <w:t>удовлетворительный</w:t>
      </w:r>
      <w:r>
        <w:rPr>
          <w:rFonts w:eastAsia="Calibri"/>
          <w:kern w:val="2"/>
          <w:sz w:val="28"/>
          <w:szCs w:val="28"/>
          <w:lang w:eastAsia="en-US"/>
        </w:rPr>
        <w:t xml:space="preserve"> уровень эффективности реализации муниципальной программы по степени достижения целевых показателей.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3) </w:t>
      </w:r>
      <w:r>
        <w:rPr>
          <w:kern w:val="2"/>
          <w:sz w:val="28"/>
          <w:szCs w:val="28"/>
          <w:lang w:eastAsia="en-US"/>
        </w:rPr>
        <w:t xml:space="preserve">Степень реализации основных мероприятий, финансируемых за счет всех источников финансирования, </w:t>
      </w:r>
      <w:r>
        <w:rPr>
          <w:kern w:val="2"/>
          <w:sz w:val="28"/>
          <w:szCs w:val="28"/>
        </w:rPr>
        <w:t>оценивается как доля основных мероприятий, выполненных в полном объеме, по следующей формуле: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СРом = Мв / М,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СРом – степень реализации </w:t>
      </w:r>
      <w:r>
        <w:rPr>
          <w:kern w:val="2"/>
          <w:sz w:val="28"/>
          <w:szCs w:val="28"/>
          <w:lang w:eastAsia="en-US"/>
        </w:rPr>
        <w:t>основных</w:t>
      </w:r>
      <w:r>
        <w:rPr>
          <w:sz w:val="28"/>
          <w:szCs w:val="28"/>
          <w:lang w:eastAsia="zh-CN"/>
        </w:rPr>
        <w:t xml:space="preserve"> мероприятий;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Мв – количество </w:t>
      </w:r>
      <w:r>
        <w:rPr>
          <w:kern w:val="2"/>
          <w:sz w:val="28"/>
          <w:szCs w:val="28"/>
          <w:lang w:eastAsia="en-US"/>
        </w:rPr>
        <w:t>основных</w:t>
      </w:r>
      <w:r>
        <w:rPr>
          <w:sz w:val="28"/>
          <w:szCs w:val="28"/>
          <w:lang w:eastAsia="zh-CN"/>
        </w:rPr>
        <w:t xml:space="preserve"> мероприятий, выполненных в полном объеме, из числа </w:t>
      </w:r>
      <w:r>
        <w:rPr>
          <w:kern w:val="2"/>
          <w:sz w:val="28"/>
          <w:szCs w:val="28"/>
          <w:lang w:eastAsia="en-US"/>
        </w:rPr>
        <w:t>основных</w:t>
      </w:r>
      <w:r>
        <w:rPr>
          <w:sz w:val="28"/>
          <w:szCs w:val="28"/>
          <w:lang w:eastAsia="zh-CN"/>
        </w:rPr>
        <w:t xml:space="preserve"> мероприятий, запланированных к реализации в отчетном году;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eastAsia="zh-CN"/>
        </w:rPr>
        <w:t>М – общее количество основных мероприятий, запланированных к реализации</w:t>
      </w:r>
      <w:r>
        <w:rPr>
          <w:sz w:val="28"/>
          <w:szCs w:val="28"/>
          <w:lang w:eastAsia="zh-CN"/>
        </w:rPr>
        <w:t xml:space="preserve"> в отчетном году.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eastAsia="zh-CN"/>
        </w:rPr>
        <w:t>СРом = 4 / 4 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4) </w:t>
      </w:r>
      <w:r>
        <w:rPr>
          <w:sz w:val="28"/>
          <w:szCs w:val="28"/>
        </w:rPr>
        <w:t>Степень реализации мероприятий д</w:t>
      </w:r>
      <w:r>
        <w:rPr>
          <w:rFonts w:eastAsia="Calibri"/>
          <w:sz w:val="28"/>
          <w:szCs w:val="28"/>
          <w:lang w:eastAsia="en-US"/>
        </w:rPr>
        <w:t>ля расчета степени реализации основных мероприятий (далее – мероприятий), финансируемых за счет средств бюджета поселения, безвозмездных поступлений в бюджет поселения,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оценивается как доля мероприятий, выполненных в полном объеме, по следующей формуле:</w:t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eastAsia="zh-CN"/>
        </w:rPr>
        <w:t>СРм = Мв / М,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СРм – степень реализации мероприятий;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 xml:space="preserve">М – общее количество мероприятий, запланированных к реализации </w:t>
        <w:br/>
        <w:t>в отчетном году.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eastAsia="zh-CN"/>
        </w:rPr>
        <w:t>СРм = 4 /4 = 1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5) </w:t>
      </w:r>
      <w:r>
        <w:rPr>
          <w:rFonts w:eastAsia="Calibri"/>
          <w:sz w:val="28"/>
          <w:szCs w:val="28"/>
          <w:lang w:eastAsia="en-US"/>
        </w:rPr>
        <w:t>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ССуз = Зф / Зп,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ССуз – степень соответствия запланированному уровню расходов;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Зф – фактические бюджетные расходы на реализацию муниципальной программы в отчетном году;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Зп – плановые бюджетные ассигнования на реализацию муниципальной программы в отчетном году.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eastAsia="zh-CN"/>
        </w:rPr>
        <w:t>ССуз =2280,7/ 2281=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6) </w:t>
      </w:r>
      <w:r>
        <w:rPr>
          <w:sz w:val="28"/>
          <w:szCs w:val="28"/>
        </w:rPr>
        <w:t>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sz w:val="27"/>
          <w:szCs w:val="27"/>
          <w:lang w:val="ru-RU" w:eastAsia="ru-RU"/>
        </w:rPr>
      </w:pPr>
      <w:r>
        <w:rPr/>
        <w:drawing>
          <wp:inline distT="0" distB="0" distL="0" distR="0">
            <wp:extent cx="1560195" cy="33464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" t="-34" r="-7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где: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/>
        <w:drawing>
          <wp:inline distT="0" distB="0" distL="0" distR="0">
            <wp:extent cx="335280" cy="32893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" t="-13" r="-12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 xml:space="preserve"> – </w:t>
      </w:r>
      <w:r>
        <w:rPr>
          <w:sz w:val="28"/>
          <w:szCs w:val="28"/>
          <w:lang w:eastAsia="zh-CN"/>
        </w:rPr>
        <w:t>эффективность использования финансовых ресурсов на реализацию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/>
        <w:drawing>
          <wp:inline distT="0" distB="0" distL="0" distR="0">
            <wp:extent cx="424180" cy="305435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" t="-13" r="-9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 xml:space="preserve"> – </w:t>
      </w:r>
      <w:r>
        <w:rPr>
          <w:sz w:val="28"/>
          <w:szCs w:val="28"/>
          <w:lang w:eastAsia="zh-CN"/>
        </w:rPr>
        <w:t>степень реализации всех мероприятий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/>
        <w:drawing>
          <wp:inline distT="0" distB="0" distL="0" distR="0">
            <wp:extent cx="476885" cy="33528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" t="-12" r="-8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 xml:space="preserve"> – </w:t>
      </w:r>
      <w:r>
        <w:rPr>
          <w:sz w:val="28"/>
          <w:szCs w:val="28"/>
          <w:lang w:eastAsia="zh-CN"/>
        </w:rPr>
        <w:t xml:space="preserve">степень соответствия запланированному уровню расходов </w:t>
        <w:br/>
        <w:t>из бюджета поселения.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335280" cy="328930"/>
            <wp:effectExtent l="0" t="0" r="0" b="0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2" t="-13" r="-12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= 1 / 1 = 1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7"/>
          <w:szCs w:val="27"/>
          <w:lang w:eastAsia="zh-CN"/>
        </w:rPr>
      </w:pPr>
      <w:r>
        <w:rPr>
          <w:sz w:val="28"/>
          <w:szCs w:val="28"/>
          <w:lang w:eastAsia="zh-CN"/>
        </w:rPr>
        <w:t>7) Уровень реализации муниципальной программы в целом: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contextualSpacing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УР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пр </w:t>
      </w:r>
      <w:r>
        <w:rPr>
          <w:rFonts w:eastAsia="Calibri"/>
          <w:sz w:val="28"/>
          <w:szCs w:val="28"/>
          <w:lang w:eastAsia="en-US"/>
        </w:rPr>
        <w:t>= Э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0,5 + СР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ом </w:t>
      </w:r>
      <w:r>
        <w:rPr>
          <w:rFonts w:eastAsia="Calibri"/>
          <w:sz w:val="28"/>
          <w:szCs w:val="28"/>
          <w:lang w:eastAsia="en-US"/>
        </w:rPr>
        <w:t>х 0,3 + Э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ис </w:t>
      </w:r>
      <w:r>
        <w:rPr>
          <w:rFonts w:eastAsia="Calibri"/>
          <w:sz w:val="28"/>
          <w:szCs w:val="28"/>
          <w:lang w:eastAsia="en-US"/>
        </w:rPr>
        <w:t>х 0,2.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УР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пр </w:t>
      </w:r>
      <w:r>
        <w:rPr>
          <w:rFonts w:eastAsia="Calibri"/>
          <w:sz w:val="28"/>
          <w:szCs w:val="28"/>
          <w:lang w:eastAsia="en-US"/>
        </w:rPr>
        <w:t>= 1 х 0,5 + 1х 0,3 + 1 х 0,2 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  <w:lang w:val="ru-RU" w:eastAsia="zh-CN" w:bidi="ar-SA"/>
        </w:rPr>
        <w:t>Бюджетная эффективность реализации программы признается высокой, в случае если значение Э</w:t>
      </w:r>
      <w:r>
        <w:rPr>
          <w:rFonts w:eastAsia="Calibri" w:cs="Times New Roman"/>
          <w:sz w:val="28"/>
          <w:szCs w:val="28"/>
          <w:vertAlign w:val="subscript"/>
          <w:lang w:val="ru-RU" w:eastAsia="zh-CN" w:bidi="ar-SA"/>
        </w:rPr>
        <w:t xml:space="preserve">ис  </w:t>
      </w:r>
      <w:r>
        <w:rPr>
          <w:rFonts w:eastAsia="Calibri" w:cs="Times New Roman"/>
          <w:sz w:val="28"/>
          <w:szCs w:val="28"/>
          <w:lang w:val="ru-RU" w:eastAsia="zh-CN" w:bidi="ar-SA"/>
        </w:rPr>
        <w:t>составляет 0,95 и более.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0"/>
        <w:contextualSpacing/>
        <w:jc w:val="center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7. </w:t>
      </w:r>
      <w:r>
        <w:rPr>
          <w:b/>
          <w:bCs/>
          <w:sz w:val="28"/>
          <w:szCs w:val="28"/>
          <w:lang w:eastAsia="en-US"/>
        </w:rPr>
        <w:t>Предложения по дальнейшей реализации муниципальной программы</w:t>
      </w:r>
    </w:p>
    <w:p>
      <w:pPr>
        <w:sectPr>
          <w:headerReference w:type="default" r:id="rId9"/>
          <w:type w:val="nextPage"/>
          <w:pgSz w:w="11906" w:h="16838"/>
          <w:pgMar w:left="1304" w:right="851" w:header="720" w:top="851" w:footer="0" w:bottom="709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spacing w:lineRule="auto" w:line="240"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Таким образом, анализируя  достигнутые показатели, степень выполнения мероприятий программы, можно сделать вывод о том, что реализация программы «Обеспечение качественными коммунальными услугами населения и повышение уровня благоустройства территории Поляковского  сельского поселения»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Таблица 11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6"/>
          <w:szCs w:val="26"/>
        </w:rPr>
        <w:t>СВЕДЕНИЯ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/>
      </w:pPr>
      <w:r>
        <w:rPr>
          <w:sz w:val="26"/>
          <w:szCs w:val="26"/>
        </w:rPr>
        <w:t>о выполнении основных мероприятий, приоритетных основных мероприятий, а также контрольных событий муниципальной программы за 2021 год</w:t>
      </w:r>
    </w:p>
    <w:tbl>
      <w:tblPr>
        <w:tblW w:w="1600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8"/>
        <w:gridCol w:w="2507"/>
        <w:gridCol w:w="2047"/>
        <w:gridCol w:w="1639"/>
        <w:gridCol w:w="1637"/>
        <w:gridCol w:w="1636"/>
        <w:gridCol w:w="3"/>
        <w:gridCol w:w="1996"/>
        <w:gridCol w:w="2008"/>
        <w:gridCol w:w="2"/>
        <w:gridCol w:w="1999"/>
      </w:tblGrid>
      <w:tr>
        <w:trPr>
          <w:trHeight w:val="360" w:hRule="atLeast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№ </w:t>
            </w:r>
            <w:r>
              <w:rPr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Номер и наименование 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Ответственный </w:t>
              <w:br/>
              <w:t xml:space="preserve"> исполнитель, соисполнитель, участник  </w:t>
              <w:br/>
              <w:t>(должность/ ФИО)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Плановый срок окончания реализации</w:t>
            </w:r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Фактический срок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Результаты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Причины не реализации/ реализации не в полном объеме</w:t>
            </w:r>
          </w:p>
        </w:tc>
      </w:tr>
      <w:tr>
        <w:trPr>
          <w:trHeight w:val="938" w:hRule="atLeast"/>
        </w:trPr>
        <w:tc>
          <w:tcPr>
            <w:tcW w:w="5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Достигнутые</w:t>
            </w:r>
          </w:p>
        </w:tc>
        <w:tc>
          <w:tcPr>
            <w:tcW w:w="19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</w:t>
            </w:r>
          </w:p>
        </w:tc>
      </w:tr>
      <w:tr>
        <w:trPr>
          <w:trHeight w:val="397" w:hRule="atLeast"/>
        </w:trPr>
        <w:tc>
          <w:tcPr>
            <w:tcW w:w="16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jc w:val="center"/>
              <w:outlineLvl w:val="2"/>
              <w:rPr/>
            </w:pPr>
            <w:r>
              <w:rPr>
                <w:sz w:val="24"/>
                <w:szCs w:val="24"/>
                <w:lang w:eastAsia="zh-CN"/>
              </w:rPr>
              <w:t>Подпрограмма 1 «Создание условий для обеспечения качественными коммунальными услугами населения Поляковского сельского поселения»</w:t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left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 документации для строительства инженерной инфраструктуры для многодетных семей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/>
            </w:pPr>
            <w:r>
              <w:rPr>
                <w:sz w:val="24"/>
                <w:szCs w:val="24"/>
              </w:rPr>
              <w:t>Все запланированные мероприятия реализованы</w:t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создание надежной коммунальной инфраструктуры села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01.01.202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создание надежной коммунальной инфраструктуры села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ind w:right="-109" w:hanging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Выполнение в полном объеме  обязательств перед многодетными семьями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60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Подпрограмма 2. Повышение уровня благоустройства территории Поляковского сельского поселения</w:t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 по организации освещения улиц в населенных пунктах сельского поселения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2104,0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20103,7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Организация прочих работ по благоустройству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Мероприятия по содержанию мест захоронения в сельском поселении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31.12.202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Повышение уровня благоустройства в сельском поселении.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/>
            </w:pPr>
            <w:r>
              <w:rPr>
                <w:sz w:val="24"/>
                <w:szCs w:val="24"/>
              </w:rPr>
              <w:t>Повышение уровня благоустройства в сельском поселении.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right"/>
        <w:rPr/>
      </w:pPr>
      <w:r>
        <w:rPr>
          <w:sz w:val="24"/>
          <w:szCs w:val="24"/>
        </w:rPr>
        <w:t>Таблица 12</w:t>
      </w:r>
    </w:p>
    <w:p>
      <w:pPr>
        <w:pStyle w:val="Normal"/>
        <w:widowControl w:val="false"/>
        <w:jc w:val="center"/>
        <w:rPr/>
      </w:pPr>
      <w:r>
        <w:rPr>
          <w:sz w:val="24"/>
          <w:szCs w:val="24"/>
        </w:rPr>
        <w:t>СВЕДЕНИЯ</w:t>
      </w:r>
    </w:p>
    <w:p>
      <w:pPr>
        <w:pStyle w:val="Normal"/>
        <w:widowControl w:val="false"/>
        <w:jc w:val="center"/>
        <w:rPr/>
      </w:pPr>
      <w:r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>
      <w:pPr>
        <w:pStyle w:val="Normal"/>
        <w:widowControl w:val="false"/>
        <w:jc w:val="center"/>
        <w:rPr/>
      </w:pPr>
      <w:r>
        <w:rPr>
          <w:sz w:val="24"/>
          <w:szCs w:val="24"/>
        </w:rPr>
        <w:t>муниципальной программы за 2021 г.</w:t>
      </w:r>
    </w:p>
    <w:tbl>
      <w:tblPr>
        <w:tblW w:w="15798" w:type="dxa"/>
        <w:jc w:val="left"/>
        <w:tblInd w:w="-205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744"/>
        <w:gridCol w:w="7230"/>
        <w:gridCol w:w="2130"/>
        <w:gridCol w:w="2129"/>
        <w:gridCol w:w="1565"/>
      </w:tblGrid>
      <w:tr>
        <w:trPr>
          <w:trHeight w:val="305" w:hRule="atLeast"/>
        </w:trPr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 xml:space="preserve">Фактические </w:t>
              <w:br/>
              <w:t>расходы (тыс. рублей),</w:t>
              <w:br/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&lt;1&gt;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1178" w:hRule="atLeast"/>
        </w:trPr>
        <w:tc>
          <w:tcPr>
            <w:tcW w:w="274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3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jc w:val="center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5750" w:type="dxa"/>
        <w:jc w:val="left"/>
        <w:tblInd w:w="-1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715"/>
        <w:gridCol w:w="7215"/>
        <w:gridCol w:w="2129"/>
        <w:gridCol w:w="2130"/>
        <w:gridCol w:w="1561"/>
      </w:tblGrid>
      <w:tr>
        <w:trPr>
          <w:tblHeader w:val="true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320" w:hRule="atLeast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</w:t>
              <w:br/>
              <w:t xml:space="preserve">программа      </w:t>
            </w:r>
          </w:p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«Обеспечение качественными коммунальными услугами населения и повышение уровня благоустройства территории Поляковского  сельского поселения»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2281,0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2281,0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2280,7</w:t>
            </w:r>
          </w:p>
        </w:tc>
      </w:tr>
      <w:tr>
        <w:trPr>
          <w:trHeight w:val="309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2281,0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2281,0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2280,7</w:t>
            </w:r>
          </w:p>
        </w:tc>
      </w:tr>
      <w:tr>
        <w:trPr>
          <w:trHeight w:val="387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7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7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26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60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79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Подпрограмма 1. </w:t>
            </w:r>
          </w:p>
          <w:p>
            <w:pPr>
              <w:pStyle w:val="ConsPlusCell"/>
              <w:rPr>
                <w:sz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«Создание условий для обеспечения качественными коммунальными услугами населения Поляковского сельского поселения»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ОМ1.1.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Подготовка документации для строительства инженерной инфраструктуры для многодетных семей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Всего, </w:t>
            </w:r>
            <w:hyperlink w:anchor="Par1127">
              <w:r>
                <w:rPr>
                  <w:rStyle w:val="Style18"/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hyperlink w:anchor="sub_300">
              <w:r>
                <w:rPr>
                  <w:rStyle w:val="Style18"/>
                  <w:kern w:val="2"/>
                  <w:sz w:val="24"/>
                  <w:szCs w:val="24"/>
                </w:rPr>
                <w:t xml:space="preserve">Подпрограмма </w:t>
              </w:r>
            </w:hyperlink>
            <w:r>
              <w:rPr>
                <w:kern w:val="2"/>
                <w:sz w:val="24"/>
                <w:szCs w:val="24"/>
              </w:rPr>
              <w:t xml:space="preserve">2.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уровня благоустройства территории Поляковского сельского поселения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2281,0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2281,0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2280,7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2281,0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2281,0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2280,7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территории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Всего, </w:t>
            </w:r>
            <w:hyperlink w:anchor="Par1127">
              <w:r>
                <w:rPr>
                  <w:rStyle w:val="Style18"/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28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ОМ  2.2.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освещения улиц в населенных пунктах сельского поселения населенных пунктах сельского поселения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Всего, </w:t>
            </w:r>
            <w:hyperlink w:anchor="Par1127">
              <w:r>
                <w:rPr>
                  <w:rStyle w:val="Style18"/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2104,0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2104,0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2103,7</w:t>
            </w:r>
          </w:p>
        </w:tc>
      </w:tr>
      <w:tr>
        <w:trPr>
          <w:trHeight w:val="328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ОМ 2.3.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Организация прочих работ по благоустройству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Всего, </w:t>
            </w:r>
            <w:hyperlink w:anchor="Par1127">
              <w:r>
                <w:rPr>
                  <w:rStyle w:val="Style18"/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81,0</w:t>
            </w:r>
          </w:p>
        </w:tc>
      </w:tr>
      <w:tr>
        <w:trPr>
          <w:trHeight w:val="328" w:hRule="atLeast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2.4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 в сельском поселении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  <w:szCs w:val="24"/>
              </w:rPr>
              <w:t xml:space="preserve">Всего, </w:t>
            </w:r>
            <w:hyperlink w:anchor="Par1127">
              <w:r>
                <w:rPr>
                  <w:rStyle w:val="Style18"/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96,0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uppressAutoHyphens w:val="true"/>
        <w:ind w:right="422" w:hanging="0"/>
        <w:jc w:val="both"/>
        <w:rPr>
          <w:sz w:val="14"/>
          <w:szCs w:val="14"/>
        </w:rPr>
      </w:pPr>
      <w:r>
        <w:rPr>
          <w:bCs/>
          <w:color w:val="000000"/>
          <w:sz w:val="14"/>
          <w:szCs w:val="14"/>
          <w:lang w:eastAsia="zh-CN"/>
        </w:rPr>
        <w:t>&lt;1&gt; В соответствии с бюджетной отчетностью на 1 января текущего финансового года.</w:t>
      </w:r>
    </w:p>
    <w:p>
      <w:pPr>
        <w:pStyle w:val="Normal"/>
        <w:widowControl w:val="false"/>
        <w:suppressAutoHyphens w:val="true"/>
        <w:ind w:right="422" w:hanging="0"/>
        <w:jc w:val="both"/>
        <w:rPr>
          <w:sz w:val="14"/>
          <w:szCs w:val="14"/>
        </w:rPr>
      </w:pPr>
      <w:r>
        <w:rPr>
          <w:b/>
          <w:bCs/>
          <w:color w:val="000000"/>
          <w:sz w:val="14"/>
          <w:szCs w:val="14"/>
          <w:lang w:eastAsia="zh-CN"/>
        </w:rPr>
        <w:t>&lt;</w:t>
      </w:r>
      <w:r>
        <w:rPr>
          <w:bCs/>
          <w:color w:val="000000"/>
          <w:sz w:val="14"/>
          <w:szCs w:val="14"/>
          <w:lang w:eastAsia="zh-CN"/>
        </w:rPr>
        <w:t>2&gt; Заполняется в случае наличия указанных средств.</w:t>
      </w:r>
    </w:p>
    <w:p>
      <w:pPr>
        <w:pStyle w:val="Normal"/>
        <w:widowControl w:val="false"/>
        <w:suppressAutoHyphens w:val="true"/>
        <w:ind w:right="422" w:hanging="0"/>
        <w:jc w:val="both"/>
        <w:rPr/>
      </w:pPr>
      <w:hyperlink r:id="rId10">
        <w:r>
          <w:rPr>
            <w:rStyle w:val="Style18"/>
            <w:bCs/>
            <w:color w:val="000000"/>
            <w:sz w:val="14"/>
            <w:szCs w:val="14"/>
            <w:lang w:eastAsia="zh-CN"/>
          </w:rPr>
          <w:t>&lt;3&gt;</w:t>
        </w:r>
      </w:hyperlink>
      <w:r>
        <w:rPr>
          <w:bCs/>
          <w:color w:val="000000"/>
          <w:sz w:val="14"/>
          <w:szCs w:val="14"/>
          <w:lang w:eastAsia="zh-CN"/>
        </w:rPr>
        <w:t xml:space="preserve"> По основным мероприятиями, приоритетным основным мероприятиям и мероприятиям ВЦП в графе 3 «Объем расходов (тыс. рублей), предусмотренных муниципальной программой» сумма должна соответствовать данным Таблицы 6.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2"/>
        <w:rPr/>
      </w:pPr>
      <w:hyperlink r:id="rId11">
        <w:r>
          <w:rPr>
            <w:rStyle w:val="Style18"/>
            <w:bCs/>
            <w:color w:val="000000"/>
            <w:sz w:val="14"/>
            <w:szCs w:val="14"/>
            <w:lang w:eastAsia="zh-CN"/>
          </w:rPr>
          <w:t>&lt;4&gt;</w:t>
        </w:r>
      </w:hyperlink>
      <w:r>
        <w:rPr>
          <w:bCs/>
          <w:color w:val="000000"/>
          <w:sz w:val="14"/>
          <w:szCs w:val="14"/>
          <w:lang w:eastAsia="zh-CN"/>
        </w:rPr>
        <w:t xml:space="preserve"> В целях оптимизации содержания информации в графе 1 допускается использование аббревиатур, например:</w:t>
      </w:r>
      <w:r>
        <w:rPr>
          <w:sz w:val="14"/>
          <w:szCs w:val="14"/>
          <w:lang w:eastAsia="zh-CN"/>
        </w:rPr>
        <w:t xml:space="preserve"> основное мероприятие 1.1 – ОМ 1.1.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2"/>
        <w:rPr>
          <w:sz w:val="14"/>
          <w:szCs w:val="14"/>
          <w:lang w:eastAsia="zh-CN"/>
        </w:rPr>
      </w:pPr>
      <w:r>
        <w:rPr>
          <w:sz w:val="14"/>
          <w:szCs w:val="14"/>
          <w:lang w:eastAsia="zh-CN"/>
        </w:rPr>
      </w:r>
    </w:p>
    <w:p>
      <w:pPr>
        <w:pStyle w:val="Normal"/>
        <w:widowControl w:val="false"/>
        <w:suppressAutoHyphens w:val="true"/>
        <w:jc w:val="right"/>
        <w:rPr/>
      </w:pPr>
      <w:r>
        <w:rPr>
          <w:sz w:val="24"/>
          <w:szCs w:val="24"/>
          <w:lang w:eastAsia="zh-CN"/>
        </w:rPr>
        <w:t>Таблица 13</w:t>
      </w:r>
    </w:p>
    <w:p>
      <w:pPr>
        <w:pStyle w:val="Normal"/>
        <w:widowControl w:val="false"/>
        <w:shd w:val="clear" w:fill="FFFFFF"/>
        <w:suppressAutoHyphens w:val="true"/>
        <w:jc w:val="center"/>
        <w:rPr/>
      </w:pPr>
      <w:r>
        <w:rPr>
          <w:sz w:val="26"/>
          <w:szCs w:val="26"/>
          <w:lang w:eastAsia="zh-CN"/>
        </w:rPr>
        <w:t>СВЕДЕНИЯ</w:t>
      </w:r>
    </w:p>
    <w:p>
      <w:pPr>
        <w:pStyle w:val="Normal"/>
        <w:widowControl w:val="false"/>
        <w:shd w:val="clear" w:fill="FFFFFF"/>
        <w:suppressAutoHyphens w:val="true"/>
        <w:jc w:val="center"/>
        <w:rPr/>
      </w:pPr>
      <w:r>
        <w:rPr>
          <w:sz w:val="26"/>
          <w:szCs w:val="26"/>
          <w:lang w:eastAsia="zh-CN"/>
        </w:rPr>
        <w:t>о достижении значений показателей (индикаторов)</w:t>
      </w:r>
    </w:p>
    <w:tbl>
      <w:tblPr>
        <w:tblW w:w="157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4"/>
        <w:gridCol w:w="6448"/>
        <w:gridCol w:w="26"/>
        <w:gridCol w:w="1133"/>
        <w:gridCol w:w="11"/>
        <w:gridCol w:w="43"/>
        <w:gridCol w:w="2040"/>
        <w:gridCol w:w="7"/>
        <w:gridCol w:w="16"/>
        <w:gridCol w:w="1273"/>
        <w:gridCol w:w="1"/>
        <w:gridCol w:w="7"/>
        <w:gridCol w:w="1130"/>
        <w:gridCol w:w="3"/>
        <w:gridCol w:w="2"/>
        <w:gridCol w:w="8"/>
        <w:gridCol w:w="3063"/>
        <w:gridCol w:w="1"/>
        <w:gridCol w:w="5"/>
      </w:tblGrid>
      <w:tr>
        <w:trPr>
          <w:cantSplit w:val="true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№ </w:t>
            </w:r>
            <w:r>
              <w:rPr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Номер и наименование 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Единица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измерения</w:t>
            </w:r>
          </w:p>
        </w:tc>
        <w:tc>
          <w:tcPr>
            <w:tcW w:w="45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Значения показателей (индикаторов) </w:t>
              <w:br/>
              <w:t xml:space="preserve">муниципальной программы, </w:t>
              <w:br/>
              <w:t>подпрограммы муниципальной программы</w:t>
            </w:r>
          </w:p>
        </w:tc>
        <w:tc>
          <w:tcPr>
            <w:tcW w:w="3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 xml:space="preserve">Обоснование отклонений  </w:t>
              <w:br/>
              <w:t xml:space="preserve"> значений показателя    </w:t>
              <w:br/>
              <w:t xml:space="preserve"> (индикатора) на конец   </w:t>
              <w:br/>
              <w:t xml:space="preserve"> отчетного года       </w:t>
              <w:br/>
              <w:t>(при наличии)</w:t>
            </w:r>
          </w:p>
        </w:tc>
      </w:tr>
      <w:tr>
        <w:trPr>
          <w:cantSplit w:val="true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6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2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год,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 xml:space="preserve">предшествующий </w:t>
              <w:br/>
              <w:t xml:space="preserve">отчетному </w:t>
            </w:r>
            <w:hyperlink r:id="rId12">
              <w:r>
                <w:rPr>
                  <w:rStyle w:val="Style18"/>
                  <w:rFonts w:cs="Calibri" w:ascii="Calibri" w:hAnsi="Calibri"/>
                  <w:color w:val="0000FF"/>
                  <w:sz w:val="22"/>
                  <w:szCs w:val="22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отчетный год</w:t>
            </w:r>
          </w:p>
        </w:tc>
        <w:tc>
          <w:tcPr>
            <w:tcW w:w="3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cs="Calibri" w:ascii="Calibri" w:hAnsi="Calibri"/>
                <w:sz w:val="22"/>
                <w:szCs w:val="22"/>
                <w:lang w:eastAsia="zh-CN"/>
              </w:rPr>
            </w:r>
          </w:p>
        </w:tc>
      </w:tr>
      <w:tr>
        <w:trPr>
          <w:cantSplit w:val="true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645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11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210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план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факт</w:t>
            </w:r>
          </w:p>
        </w:tc>
        <w:tc>
          <w:tcPr>
            <w:tcW w:w="3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cs="Calibri" w:ascii="Calibri" w:hAnsi="Calibri"/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3" w:hRule="atLeast"/>
        </w:trPr>
        <w:tc>
          <w:tcPr>
            <w:tcW w:w="157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cs="Times New Roman"/>
                <w:sz w:val="22"/>
                <w:szCs w:val="22"/>
                <w:lang w:eastAsia="zh-CN"/>
              </w:rPr>
              <w:t>Обеспечение качественными коммунальными услугами населения и повышение уровня благоустройства территории Поляковского  сельского поселения</w:t>
            </w:r>
            <w:r>
              <w:rPr>
                <w:sz w:val="22"/>
                <w:szCs w:val="22"/>
                <w:lang w:eastAsia="zh-CN"/>
              </w:rPr>
              <w:t>»</w:t>
            </w:r>
          </w:p>
        </w:tc>
      </w:tr>
      <w:tr>
        <w:trPr/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Степень достижения целевых показателей Программы, подпрограмм Программы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4"/>
                <w:szCs w:val="24"/>
                <w:lang w:eastAsia="zh-CN"/>
              </w:rPr>
              <w:t>да/нет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процентов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61,4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157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4"/>
                <w:szCs w:val="24"/>
                <w:lang w:eastAsia="zh-CN"/>
              </w:rPr>
              <w:t xml:space="preserve">Подпрограмма 1      </w:t>
            </w:r>
            <w:r>
              <w:rPr>
                <w:rFonts w:cs="Times New Roman"/>
                <w:spacing w:val="-8"/>
                <w:sz w:val="24"/>
                <w:szCs w:val="24"/>
                <w:lang w:eastAsia="zh-CN"/>
              </w:rPr>
              <w:t>Создание условий для обеспечения качественными коммунальными услугами населения Поляковского сельского поселения»</w:t>
            </w:r>
          </w:p>
        </w:tc>
      </w:tr>
      <w:tr>
        <w:trPr/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1.1.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Показатель (индикатор)   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jc w:val="both"/>
              <w:rPr/>
            </w:pPr>
            <w:r>
              <w:rPr>
                <w:bCs/>
                <w:sz w:val="24"/>
                <w:szCs w:val="24"/>
              </w:rPr>
              <w:t>Количество документации для строительства инженерной инфраструктуры для многодетных семей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шт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1578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 xml:space="preserve">Подпрограмма 2 </w:t>
            </w:r>
            <w:r>
              <w:rPr>
                <w:spacing w:val="-8"/>
                <w:kern w:val="2"/>
                <w:sz w:val="24"/>
                <w:szCs w:val="24"/>
              </w:rPr>
              <w:t>Повышение уровня благоустройства территории Поляковского сельского поселения</w:t>
            </w:r>
          </w:p>
        </w:tc>
      </w:tr>
      <w:tr>
        <w:trPr/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2.1.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(индикатор)  </w:t>
            </w:r>
          </w:p>
          <w:p>
            <w:pPr>
              <w:pStyle w:val="Normal"/>
              <w:suppressAutoHyphens w:val="true"/>
              <w:rPr/>
            </w:pPr>
            <w:r>
              <w:rPr>
                <w:sz w:val="24"/>
                <w:szCs w:val="24"/>
              </w:rPr>
              <w:t>Доля  саженцев декоративных деревьев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процентов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61,4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2.2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(индикатор)  </w:t>
            </w:r>
          </w:p>
          <w:p>
            <w:pPr>
              <w:pStyle w:val="Normal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Доля действующих светильников к общему количеству светильников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процентов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97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/>
            </w:pPr>
            <w:r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2.3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(индикатор)  </w:t>
            </w:r>
          </w:p>
          <w:p>
            <w:pPr>
              <w:pStyle w:val="Normal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Доля размещения заказов для государственных нужд.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процентов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97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2.4</w:t>
            </w:r>
          </w:p>
        </w:tc>
        <w:tc>
          <w:tcPr>
            <w:tcW w:w="6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(индикатор) </w:t>
            </w:r>
          </w:p>
          <w:p>
            <w:pPr>
              <w:pStyle w:val="Normal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Доля ликвидация свалок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процентов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92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97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hd w:val="clear" w:fill="FFFFFF"/>
              <w:suppressAutoHyphens w:val="true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</w:tbl>
    <w:p>
      <w:pPr>
        <w:pStyle w:val="Normal"/>
        <w:widowControl w:val="false"/>
        <w:suppressAutoHyphens w:val="true"/>
        <w:ind w:firstLine="5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</w:r>
    </w:p>
    <w:p>
      <w:pPr>
        <w:pStyle w:val="Normal"/>
        <w:widowControl w:val="false"/>
        <w:suppressAutoHyphens w:val="true"/>
        <w:ind w:firstLine="540"/>
        <w:jc w:val="both"/>
        <w:rPr/>
      </w:pPr>
      <w:r>
        <w:rPr>
          <w:sz w:val="22"/>
          <w:szCs w:val="22"/>
          <w:lang w:eastAsia="zh-CN"/>
        </w:rPr>
        <w:t>&lt;1&gt; Приводится фактическое значение индикатора или показателя за год, предшествующий отчетному.</w:t>
      </w:r>
    </w:p>
    <w:p>
      <w:pPr>
        <w:pStyle w:val="Normal"/>
        <w:widowControl w:val="false"/>
        <w:suppressAutoHyphens w:val="true"/>
        <w:ind w:firstLine="54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widowControl w:val="false"/>
        <w:suppressAutoHyphens w:val="true"/>
        <w:ind w:firstLine="54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widowControl w:val="false"/>
        <w:suppressAutoHyphens w:val="true"/>
        <w:ind w:firstLine="540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/>
      </w:pPr>
      <w:r>
        <w:rPr>
          <w:sz w:val="24"/>
          <w:szCs w:val="24"/>
        </w:rPr>
        <w:t>Таблица 14</w:t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ИНФОРМАЦИЯ</w:t>
      </w:r>
    </w:p>
    <w:p>
      <w:pPr>
        <w:pStyle w:val="Normal"/>
        <w:jc w:val="center"/>
        <w:rPr/>
      </w:pPr>
      <w:r>
        <w:rPr>
          <w:bCs/>
          <w:sz w:val="24"/>
          <w:szCs w:val="24"/>
        </w:rPr>
        <w:t xml:space="preserve">о возникновении экономии бюджетных ассигнований на реализацию основных мероприятий </w:t>
        <w:br/>
        <w:t xml:space="preserve">подпрограмм и мероприятий ведомственных целевых программ муниципальной программы, в том числе в результате 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проведения закупок, при условии его исполнения в полном объеме в </w:t>
      </w:r>
      <w:r>
        <w:rPr>
          <w:bCs/>
          <w:iCs/>
          <w:sz w:val="24"/>
          <w:szCs w:val="24"/>
        </w:rPr>
        <w:t xml:space="preserve">2020 </w:t>
      </w:r>
      <w:r>
        <w:rPr>
          <w:bCs/>
          <w:sz w:val="24"/>
          <w:szCs w:val="24"/>
        </w:rPr>
        <w:t>году</w:t>
      </w:r>
    </w:p>
    <w:tbl>
      <w:tblPr>
        <w:tblW w:w="15690" w:type="dxa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4"/>
        <w:gridCol w:w="8507"/>
        <w:gridCol w:w="1125"/>
        <w:gridCol w:w="1591"/>
        <w:gridCol w:w="1921"/>
        <w:gridCol w:w="1871"/>
      </w:tblGrid>
      <w:tr>
        <w:trPr>
          <w:trHeight w:val="64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</w:p>
          <w:p>
            <w:pPr>
              <w:pStyle w:val="Normal"/>
              <w:ind w:left="-1418" w:firstLine="127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8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инвестиционным расходам – в разрезе объектов)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экономии</w:t>
              <w:br/>
              <w:t>(тыс. рублей)</w:t>
            </w:r>
          </w:p>
        </w:tc>
      </w:tr>
      <w:tr>
        <w:trPr>
          <w:trHeight w:val="89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8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  <w:lang w:eastAsia="zh-CN"/>
              </w:rPr>
              <w:t>Обеспечение качественными коммунальными услугами населения и повышение уровня благоустройства территории Поляковского  сельского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0,3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</w:t>
            </w:r>
            <w:r>
              <w:rPr>
                <w:rFonts w:cs="Times New Roman"/>
                <w:spacing w:val="-8"/>
                <w:sz w:val="24"/>
                <w:szCs w:val="24"/>
                <w:lang w:eastAsia="zh-CN"/>
              </w:rPr>
              <w:t>Создание условий для обеспечения качественными коммунальными услугами населения Поляковского сельского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1.1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для строительства инженерной инфраструктуры для многодетных семей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2.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Повышение уровня благоустройства территории Поляковского сельского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 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0,3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ОМ  2.2. 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освещения улиц в населенных пунктах сельского поселения населенных пунктах сельского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0,3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ОМ 2.3.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Организация прочих работ по благоустройству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2.4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мест захоронения в сельском поселении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40"/>
        <w:jc w:val="both"/>
        <w:rPr/>
      </w:pPr>
      <w:hyperlink w:anchor="Par1127">
        <w:r>
          <w:rPr>
            <w:rStyle w:val="Style18"/>
            <w:sz w:val="16"/>
            <w:szCs w:val="16"/>
          </w:rPr>
          <w:t>&lt;1&gt;</w:t>
        </w:r>
      </w:hyperlink>
      <w:r>
        <w:rPr>
          <w:sz w:val="16"/>
          <w:szCs w:val="16"/>
        </w:rPr>
        <w:t xml:space="preserve"> В целях оптимизации содержания информации в графе 2 допускается использование аббревиатур, например: основное</w:t>
        <w:br/>
        <w:t>мероприятие 1.1 – ОМ 1.1.</w:t>
      </w:r>
    </w:p>
    <w:sectPr>
      <w:headerReference w:type="default" r:id="rId13"/>
      <w:type w:val="nextPage"/>
      <w:pgSz w:orient="landscape" w:w="16838" w:h="11906"/>
      <w:pgMar w:left="340" w:right="709" w:header="720" w:top="777" w:footer="0" w:bottom="851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5885" cy="203835"/>
              <wp:effectExtent l="0" t="0" r="0" b="0"/>
              <wp:wrapSquare wrapText="largest"/>
              <wp:docPr id="8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0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40pt;margin-top:0.05pt;width:7.45pt;height:15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249" w:hanging="540"/>
      </w:pPr>
      <w:rPr>
        <w:sz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-17" w:hanging="360"/>
      </w:pPr>
    </w:lvl>
    <w:lvl w:ilvl="1">
      <w:start w:val="1"/>
      <w:numFmt w:val="decimal"/>
      <w:lvlText w:val="%2."/>
      <w:lvlJc w:val="left"/>
      <w:pPr>
        <w:tabs>
          <w:tab w:val="num" w:pos="343"/>
        </w:tabs>
        <w:ind w:left="343" w:hanging="360"/>
      </w:pPr>
    </w:lvl>
    <w:lvl w:ilvl="2">
      <w:start w:val="1"/>
      <w:numFmt w:val="decimal"/>
      <w:lvlText w:val="%3."/>
      <w:lvlJc w:val="left"/>
      <w:pPr>
        <w:tabs>
          <w:tab w:val="num" w:pos="703"/>
        </w:tabs>
        <w:ind w:left="703" w:hanging="360"/>
      </w:pPr>
    </w:lvl>
    <w:lvl w:ilvl="3">
      <w:start w:val="1"/>
      <w:numFmt w:val="decimal"/>
      <w:lvlText w:val="%4."/>
      <w:lvlJc w:val="left"/>
      <w:pPr>
        <w:tabs>
          <w:tab w:val="num" w:pos="1063"/>
        </w:tabs>
        <w:ind w:left="1063" w:hanging="360"/>
      </w:pPr>
    </w:lvl>
    <w:lvl w:ilvl="4">
      <w:start w:val="1"/>
      <w:numFmt w:val="decimal"/>
      <w:lvlText w:val="%5."/>
      <w:lvlJc w:val="left"/>
      <w:pPr>
        <w:tabs>
          <w:tab w:val="num" w:pos="1423"/>
        </w:tabs>
        <w:ind w:left="1423" w:hanging="360"/>
      </w:pPr>
    </w:lvl>
    <w:lvl w:ilvl="5">
      <w:start w:val="1"/>
      <w:numFmt w:val="decimal"/>
      <w:lvlText w:val="%6."/>
      <w:lvlJc w:val="left"/>
      <w:pPr>
        <w:tabs>
          <w:tab w:val="num" w:pos="1783"/>
        </w:tabs>
        <w:ind w:left="1783" w:hanging="360"/>
      </w:pPr>
    </w:lvl>
    <w:lvl w:ilvl="6">
      <w:start w:val="1"/>
      <w:numFmt w:val="decimal"/>
      <w:lvlText w:val="%7."/>
      <w:lvlJc w:val="left"/>
      <w:pPr>
        <w:tabs>
          <w:tab w:val="num" w:pos="2143"/>
        </w:tabs>
        <w:ind w:left="2143" w:hanging="360"/>
      </w:pPr>
    </w:lvl>
    <w:lvl w:ilvl="7">
      <w:start w:val="1"/>
      <w:numFmt w:val="decimal"/>
      <w:lvlText w:val="%8."/>
      <w:lvlJc w:val="left"/>
      <w:pPr>
        <w:tabs>
          <w:tab w:val="num" w:pos="2503"/>
        </w:tabs>
        <w:ind w:left="2503" w:hanging="360"/>
      </w:pPr>
    </w:lvl>
    <w:lvl w:ilvl="8">
      <w:start w:val="1"/>
      <w:numFmt w:val="decimal"/>
      <w:lvlText w:val="%9."/>
      <w:lvlJc w:val="left"/>
      <w:pPr>
        <w:tabs>
          <w:tab w:val="num" w:pos="2863"/>
        </w:tabs>
        <w:ind w:left="2863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39d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a26d43"/>
    <w:pPr>
      <w:keepNext w:val="true"/>
      <w:jc w:val="both"/>
      <w:outlineLvl w:val="0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сноски Знак"/>
    <w:basedOn w:val="DefaultParagraphFont"/>
    <w:link w:val="a3"/>
    <w:qFormat/>
    <w:rsid w:val="001839d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>
    <w:name w:val="Привязка сноски"/>
    <w:rPr>
      <w:vertAlign w:val="superscript"/>
    </w:rPr>
  </w:style>
  <w:style w:type="character" w:styleId="FootnoteCharacters">
    <w:name w:val="Footnote Characters"/>
    <w:qFormat/>
    <w:rsid w:val="001839d6"/>
    <w:rPr>
      <w:vertAlign w:val="superscript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1839d6"/>
    <w:rPr>
      <w:rFonts w:ascii="Tahoma" w:hAnsi="Tahoma" w:eastAsia="Times New Roman" w:cs="Tahoma"/>
      <w:sz w:val="16"/>
      <w:szCs w:val="16"/>
      <w:lang w:eastAsia="ru-RU"/>
    </w:rPr>
  </w:style>
  <w:style w:type="character" w:styleId="Fontstyle01" w:customStyle="1">
    <w:name w:val="fontstyle01"/>
    <w:basedOn w:val="DefaultParagraphFont"/>
    <w:qFormat/>
    <w:rsid w:val="00bd4974"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11" w:customStyle="1">
    <w:name w:val="Заголовок 1 Знак"/>
    <w:basedOn w:val="DefaultParagraphFont"/>
    <w:link w:val="1"/>
    <w:qFormat/>
    <w:rsid w:val="00a26d43"/>
    <w:rPr>
      <w:rFonts w:ascii="Times New Roman" w:hAnsi="Times New Roman" w:eastAsia="Times New Roman" w:cs="Times New Roman"/>
      <w:b/>
      <w:sz w:val="32"/>
      <w:szCs w:val="20"/>
    </w:rPr>
  </w:style>
  <w:style w:type="character" w:styleId="Style16" w:customStyle="1">
    <w:name w:val="Основной текст Знак"/>
    <w:basedOn w:val="DefaultParagraphFont"/>
    <w:link w:val="a9"/>
    <w:qFormat/>
    <w:rsid w:val="00a26d43"/>
    <w:rPr>
      <w:rFonts w:ascii="Times New Roman" w:hAnsi="Times New Roman" w:eastAsia="Times New Roman" w:cs="Times New Roman"/>
      <w:sz w:val="28"/>
      <w:szCs w:val="20"/>
    </w:rPr>
  </w:style>
  <w:style w:type="character" w:styleId="Style17" w:customStyle="1">
    <w:name w:val="Верхний колонтитул Знак"/>
    <w:basedOn w:val="DefaultParagraphFont"/>
    <w:link w:val="ab"/>
    <w:uiPriority w:val="99"/>
    <w:qFormat/>
    <w:rsid w:val="00a26d43"/>
    <w:rPr>
      <w:rFonts w:ascii="Times New Roman" w:hAnsi="Times New Roman" w:eastAsia="Times New Roman" w:cs="Times New Roman"/>
      <w:sz w:val="28"/>
      <w:szCs w:val="20"/>
    </w:rPr>
  </w:style>
  <w:style w:type="character" w:styleId="Pagenumber">
    <w:name w:val="page number"/>
    <w:basedOn w:val="DefaultParagraphFont"/>
    <w:uiPriority w:val="99"/>
    <w:qFormat/>
    <w:rsid w:val="00a26d43"/>
    <w:rPr/>
  </w:style>
  <w:style w:type="character" w:styleId="Style18">
    <w:name w:val="Интернет-ссылка"/>
    <w:uiPriority w:val="99"/>
    <w:rsid w:val="00a26d43"/>
    <w:rPr>
      <w:color w:val="0000FF"/>
      <w:u w:val="single"/>
    </w:rPr>
  </w:style>
  <w:style w:type="character" w:styleId="WW8Num3z3" w:customStyle="1">
    <w:name w:val="WW8Num3z3"/>
    <w:qFormat/>
    <w:rsid w:val="00106380"/>
    <w:rPr>
      <w:rFonts w:ascii="Symbol" w:hAnsi="Symbol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bCs/>
      <w:color w:val="000000"/>
      <w:sz w:val="20"/>
    </w:rPr>
  </w:style>
  <w:style w:type="character" w:styleId="WW8Num4z0">
    <w:name w:val="WW8Num4z0"/>
    <w:qFormat/>
    <w:rPr>
      <w:rFonts w:ascii="Times New Roman" w:hAnsi="Times New Roman" w:eastAsia="Times New Roman" w:cs="Times New Roman"/>
      <w:sz w:val="26"/>
      <w:szCs w:val="26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4">
    <w:name w:val="ListLabel 4"/>
    <w:qFormat/>
    <w:rPr>
      <w:rFonts w:eastAsia="Times New Roman" w:cs="Times New Roman"/>
      <w:sz w:val="26"/>
      <w:szCs w:val="26"/>
    </w:rPr>
  </w:style>
  <w:style w:type="character" w:styleId="ListLabel5">
    <w:name w:val="ListLabel 5"/>
    <w:qFormat/>
    <w:rPr>
      <w:bCs/>
      <w:color w:val="000000"/>
      <w:sz w:val="20"/>
    </w:rPr>
  </w:style>
  <w:style w:type="character" w:styleId="ListLabel6">
    <w:name w:val="ListLabel 6"/>
    <w:qFormat/>
    <w:rPr>
      <w:rFonts w:eastAsia="Times New Roman" w:cs="Times New Roman"/>
      <w:sz w:val="26"/>
      <w:szCs w:val="26"/>
    </w:rPr>
  </w:style>
  <w:style w:type="character" w:styleId="ListLabel7">
    <w:name w:val="ListLabel 7"/>
    <w:qFormat/>
    <w:rPr>
      <w:rFonts w:cs="Calibri"/>
      <w:sz w:val="22"/>
      <w:szCs w:val="22"/>
    </w:rPr>
  </w:style>
  <w:style w:type="character" w:styleId="ListLabel8">
    <w:name w:val="ListLabel 8"/>
    <w:qFormat/>
    <w:rPr>
      <w:kern w:val="2"/>
      <w:sz w:val="22"/>
      <w:szCs w:val="22"/>
    </w:rPr>
  </w:style>
  <w:style w:type="character" w:styleId="ListLabel9">
    <w:name w:val="ListLabel 9"/>
    <w:qFormat/>
    <w:rPr>
      <w:bCs/>
      <w:color w:val="000000"/>
      <w:sz w:val="22"/>
      <w:szCs w:val="22"/>
      <w:lang w:eastAsia="zh-CN"/>
    </w:rPr>
  </w:style>
  <w:style w:type="character" w:styleId="ListLabel10">
    <w:name w:val="ListLabel 10"/>
    <w:qFormat/>
    <w:rPr>
      <w:bCs/>
      <w:color w:val="000000"/>
      <w:sz w:val="20"/>
    </w:rPr>
  </w:style>
  <w:style w:type="character" w:styleId="WW8Num3z0">
    <w:name w:val="WW8Num3z0"/>
    <w:qFormat/>
    <w:rPr>
      <w:sz w:val="27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11">
    <w:name w:val="ListLabel 11"/>
    <w:qFormat/>
    <w:rPr>
      <w:rFonts w:eastAsia="Times New Roman" w:cs="Times New Roman"/>
      <w:sz w:val="26"/>
      <w:szCs w:val="26"/>
    </w:rPr>
  </w:style>
  <w:style w:type="character" w:styleId="ListLabel12">
    <w:name w:val="ListLabel 12"/>
    <w:qFormat/>
    <w:rPr>
      <w:sz w:val="27"/>
    </w:rPr>
  </w:style>
  <w:style w:type="character" w:styleId="ListLabel13">
    <w:name w:val="ListLabel 13"/>
    <w:qFormat/>
    <w:rPr>
      <w:rFonts w:cs="Calibri"/>
      <w:sz w:val="24"/>
      <w:szCs w:val="24"/>
    </w:rPr>
  </w:style>
  <w:style w:type="character" w:styleId="ListLabel14">
    <w:name w:val="ListLabel 14"/>
    <w:qFormat/>
    <w:rPr>
      <w:kern w:val="2"/>
      <w:sz w:val="24"/>
      <w:szCs w:val="24"/>
    </w:rPr>
  </w:style>
  <w:style w:type="character" w:styleId="ListLabel15">
    <w:name w:val="ListLabel 15"/>
    <w:qFormat/>
    <w:rPr>
      <w:bCs/>
      <w:color w:val="000000"/>
      <w:sz w:val="14"/>
      <w:szCs w:val="14"/>
      <w:lang w:eastAsia="zh-CN"/>
    </w:rPr>
  </w:style>
  <w:style w:type="character" w:styleId="ListLabel16">
    <w:name w:val="ListLabel 16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17">
    <w:name w:val="ListLabel 17"/>
    <w:qFormat/>
    <w:rPr>
      <w:sz w:val="16"/>
      <w:szCs w:val="16"/>
    </w:rPr>
  </w:style>
  <w:style w:type="character" w:styleId="ListLabel18">
    <w:name w:val="ListLabel 18"/>
    <w:qFormat/>
    <w:rPr>
      <w:rFonts w:eastAsia="Times New Roman" w:cs="Times New Roman"/>
      <w:sz w:val="26"/>
      <w:szCs w:val="26"/>
    </w:rPr>
  </w:style>
  <w:style w:type="character" w:styleId="ListLabel19">
    <w:name w:val="ListLabel 19"/>
    <w:qFormat/>
    <w:rPr>
      <w:sz w:val="27"/>
    </w:rPr>
  </w:style>
  <w:style w:type="character" w:styleId="ListLabel20">
    <w:name w:val="ListLabel 20"/>
    <w:qFormat/>
    <w:rPr>
      <w:rFonts w:cs="Calibri"/>
      <w:sz w:val="24"/>
      <w:szCs w:val="24"/>
    </w:rPr>
  </w:style>
  <w:style w:type="character" w:styleId="ListLabel21">
    <w:name w:val="ListLabel 21"/>
    <w:qFormat/>
    <w:rPr>
      <w:kern w:val="2"/>
      <w:sz w:val="24"/>
      <w:szCs w:val="24"/>
    </w:rPr>
  </w:style>
  <w:style w:type="character" w:styleId="ListLabel22">
    <w:name w:val="ListLabel 22"/>
    <w:qFormat/>
    <w:rPr>
      <w:bCs/>
      <w:color w:val="000000"/>
      <w:sz w:val="14"/>
      <w:szCs w:val="14"/>
      <w:lang w:eastAsia="zh-CN"/>
    </w:rPr>
  </w:style>
  <w:style w:type="character" w:styleId="ListLabel23">
    <w:name w:val="ListLabel 23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24">
    <w:name w:val="ListLabel 24"/>
    <w:qFormat/>
    <w:rPr>
      <w:sz w:val="16"/>
      <w:szCs w:val="16"/>
    </w:rPr>
  </w:style>
  <w:style w:type="character" w:styleId="ListLabel25">
    <w:name w:val="ListLabel 25"/>
    <w:qFormat/>
    <w:rPr>
      <w:rFonts w:eastAsia="Times New Roman" w:cs="Times New Roman"/>
      <w:sz w:val="26"/>
      <w:szCs w:val="26"/>
    </w:rPr>
  </w:style>
  <w:style w:type="character" w:styleId="ListLabel26">
    <w:name w:val="ListLabel 26"/>
    <w:qFormat/>
    <w:rPr>
      <w:sz w:val="27"/>
    </w:rPr>
  </w:style>
  <w:style w:type="character" w:styleId="ListLabel27">
    <w:name w:val="ListLabel 27"/>
    <w:qFormat/>
    <w:rPr>
      <w:rFonts w:cs="Calibri"/>
      <w:sz w:val="24"/>
      <w:szCs w:val="24"/>
    </w:rPr>
  </w:style>
  <w:style w:type="character" w:styleId="ListLabel28">
    <w:name w:val="ListLabel 28"/>
    <w:qFormat/>
    <w:rPr>
      <w:kern w:val="2"/>
      <w:sz w:val="24"/>
      <w:szCs w:val="24"/>
    </w:rPr>
  </w:style>
  <w:style w:type="character" w:styleId="ListLabel29">
    <w:name w:val="ListLabel 29"/>
    <w:qFormat/>
    <w:rPr>
      <w:bCs/>
      <w:color w:val="000000"/>
      <w:sz w:val="14"/>
      <w:szCs w:val="14"/>
      <w:lang w:eastAsia="zh-CN"/>
    </w:rPr>
  </w:style>
  <w:style w:type="character" w:styleId="ListLabel30">
    <w:name w:val="ListLabel 30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31">
    <w:name w:val="ListLabel 31"/>
    <w:qFormat/>
    <w:rPr>
      <w:sz w:val="16"/>
      <w:szCs w:val="16"/>
    </w:rPr>
  </w:style>
  <w:style w:type="character" w:styleId="ListLabel32">
    <w:name w:val="ListLabel 32"/>
    <w:qFormat/>
    <w:rPr>
      <w:rFonts w:eastAsia="Times New Roman" w:cs="Times New Roman"/>
      <w:sz w:val="26"/>
      <w:szCs w:val="26"/>
    </w:rPr>
  </w:style>
  <w:style w:type="character" w:styleId="ListLabel33">
    <w:name w:val="ListLabel 33"/>
    <w:qFormat/>
    <w:rPr>
      <w:sz w:val="27"/>
    </w:rPr>
  </w:style>
  <w:style w:type="character" w:styleId="ListLabel34">
    <w:name w:val="ListLabel 34"/>
    <w:qFormat/>
    <w:rPr>
      <w:rFonts w:cs="Calibri"/>
      <w:sz w:val="24"/>
      <w:szCs w:val="24"/>
    </w:rPr>
  </w:style>
  <w:style w:type="character" w:styleId="ListLabel35">
    <w:name w:val="ListLabel 35"/>
    <w:qFormat/>
    <w:rPr>
      <w:kern w:val="2"/>
      <w:sz w:val="24"/>
      <w:szCs w:val="24"/>
    </w:rPr>
  </w:style>
  <w:style w:type="character" w:styleId="ListLabel36">
    <w:name w:val="ListLabel 36"/>
    <w:qFormat/>
    <w:rPr>
      <w:bCs/>
      <w:color w:val="000000"/>
      <w:sz w:val="14"/>
      <w:szCs w:val="14"/>
      <w:lang w:eastAsia="zh-CN"/>
    </w:rPr>
  </w:style>
  <w:style w:type="character" w:styleId="ListLabel37">
    <w:name w:val="ListLabel 37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38">
    <w:name w:val="ListLabel 38"/>
    <w:qFormat/>
    <w:rPr>
      <w:sz w:val="16"/>
      <w:szCs w:val="16"/>
    </w:rPr>
  </w:style>
  <w:style w:type="character" w:styleId="ListLabel39">
    <w:name w:val="ListLabel 39"/>
    <w:qFormat/>
    <w:rPr>
      <w:rFonts w:eastAsia="Times New Roman" w:cs="Times New Roman"/>
      <w:sz w:val="26"/>
      <w:szCs w:val="26"/>
    </w:rPr>
  </w:style>
  <w:style w:type="character" w:styleId="ListLabel40">
    <w:name w:val="ListLabel 40"/>
    <w:qFormat/>
    <w:rPr>
      <w:sz w:val="27"/>
    </w:rPr>
  </w:style>
  <w:style w:type="character" w:styleId="ListLabel41">
    <w:name w:val="ListLabel 41"/>
    <w:qFormat/>
    <w:rPr>
      <w:rFonts w:cs="Calibri"/>
      <w:sz w:val="24"/>
      <w:szCs w:val="24"/>
    </w:rPr>
  </w:style>
  <w:style w:type="character" w:styleId="ListLabel42">
    <w:name w:val="ListLabel 42"/>
    <w:qFormat/>
    <w:rPr>
      <w:kern w:val="2"/>
      <w:sz w:val="24"/>
      <w:szCs w:val="24"/>
    </w:rPr>
  </w:style>
  <w:style w:type="character" w:styleId="ListLabel43">
    <w:name w:val="ListLabel 43"/>
    <w:qFormat/>
    <w:rPr>
      <w:bCs/>
      <w:color w:val="000000"/>
      <w:sz w:val="14"/>
      <w:szCs w:val="14"/>
      <w:lang w:eastAsia="zh-CN"/>
    </w:rPr>
  </w:style>
  <w:style w:type="character" w:styleId="ListLabel44">
    <w:name w:val="ListLabel 44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45">
    <w:name w:val="ListLabel 45"/>
    <w:qFormat/>
    <w:rPr>
      <w:sz w:val="16"/>
      <w:szCs w:val="16"/>
    </w:rPr>
  </w:style>
  <w:style w:type="character" w:styleId="ListLabel46">
    <w:name w:val="ListLabel 46"/>
    <w:qFormat/>
    <w:rPr>
      <w:rFonts w:eastAsia="Times New Roman" w:cs="Times New Roman"/>
      <w:sz w:val="26"/>
      <w:szCs w:val="26"/>
    </w:rPr>
  </w:style>
  <w:style w:type="character" w:styleId="ListLabel47">
    <w:name w:val="ListLabel 47"/>
    <w:qFormat/>
    <w:rPr>
      <w:sz w:val="27"/>
    </w:rPr>
  </w:style>
  <w:style w:type="character" w:styleId="ListLabel48">
    <w:name w:val="ListLabel 48"/>
    <w:qFormat/>
    <w:rPr>
      <w:rFonts w:cs="Calibri"/>
      <w:sz w:val="24"/>
      <w:szCs w:val="24"/>
    </w:rPr>
  </w:style>
  <w:style w:type="character" w:styleId="ListLabel49">
    <w:name w:val="ListLabel 49"/>
    <w:qFormat/>
    <w:rPr>
      <w:kern w:val="2"/>
      <w:sz w:val="24"/>
      <w:szCs w:val="24"/>
    </w:rPr>
  </w:style>
  <w:style w:type="character" w:styleId="ListLabel50">
    <w:name w:val="ListLabel 50"/>
    <w:qFormat/>
    <w:rPr>
      <w:bCs/>
      <w:color w:val="000000"/>
      <w:sz w:val="14"/>
      <w:szCs w:val="14"/>
      <w:lang w:eastAsia="zh-CN"/>
    </w:rPr>
  </w:style>
  <w:style w:type="character" w:styleId="ListLabel51">
    <w:name w:val="ListLabel 51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52">
    <w:name w:val="ListLabel 52"/>
    <w:qFormat/>
    <w:rPr>
      <w:sz w:val="16"/>
      <w:szCs w:val="16"/>
    </w:rPr>
  </w:style>
  <w:style w:type="character" w:styleId="ListLabel53">
    <w:name w:val="ListLabel 53"/>
    <w:qFormat/>
    <w:rPr>
      <w:rFonts w:eastAsia="Times New Roman" w:cs="Times New Roman"/>
      <w:sz w:val="26"/>
      <w:szCs w:val="26"/>
    </w:rPr>
  </w:style>
  <w:style w:type="character" w:styleId="ListLabel54">
    <w:name w:val="ListLabel 54"/>
    <w:qFormat/>
    <w:rPr>
      <w:sz w:val="27"/>
    </w:rPr>
  </w:style>
  <w:style w:type="character" w:styleId="ListLabel55">
    <w:name w:val="ListLabel 55"/>
    <w:qFormat/>
    <w:rPr>
      <w:rFonts w:cs="Calibri"/>
      <w:sz w:val="24"/>
      <w:szCs w:val="24"/>
    </w:rPr>
  </w:style>
  <w:style w:type="character" w:styleId="ListLabel56">
    <w:name w:val="ListLabel 56"/>
    <w:qFormat/>
    <w:rPr>
      <w:kern w:val="2"/>
      <w:sz w:val="24"/>
      <w:szCs w:val="24"/>
    </w:rPr>
  </w:style>
  <w:style w:type="character" w:styleId="ListLabel57">
    <w:name w:val="ListLabel 57"/>
    <w:qFormat/>
    <w:rPr>
      <w:bCs/>
      <w:color w:val="000000"/>
      <w:sz w:val="14"/>
      <w:szCs w:val="14"/>
      <w:lang w:eastAsia="zh-CN"/>
    </w:rPr>
  </w:style>
  <w:style w:type="character" w:styleId="ListLabel58">
    <w:name w:val="ListLabel 58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59">
    <w:name w:val="ListLabel 59"/>
    <w:qFormat/>
    <w:rPr>
      <w:sz w:val="16"/>
      <w:szCs w:val="16"/>
    </w:rPr>
  </w:style>
  <w:style w:type="character" w:styleId="Style19">
    <w:name w:val="Символ нумерации"/>
    <w:qFormat/>
    <w:rPr/>
  </w:style>
  <w:style w:type="character" w:styleId="ListLabel60">
    <w:name w:val="ListLabel 60"/>
    <w:qFormat/>
    <w:rPr>
      <w:sz w:val="27"/>
    </w:rPr>
  </w:style>
  <w:style w:type="character" w:styleId="ListLabel61">
    <w:name w:val="ListLabel 61"/>
    <w:qFormat/>
    <w:rPr>
      <w:rFonts w:cs="Calibri"/>
      <w:sz w:val="24"/>
      <w:szCs w:val="24"/>
    </w:rPr>
  </w:style>
  <w:style w:type="character" w:styleId="ListLabel62">
    <w:name w:val="ListLabel 62"/>
    <w:qFormat/>
    <w:rPr>
      <w:kern w:val="2"/>
      <w:sz w:val="24"/>
      <w:szCs w:val="24"/>
    </w:rPr>
  </w:style>
  <w:style w:type="character" w:styleId="ListLabel63">
    <w:name w:val="ListLabel 63"/>
    <w:qFormat/>
    <w:rPr>
      <w:bCs/>
      <w:color w:val="000000"/>
      <w:sz w:val="14"/>
      <w:szCs w:val="14"/>
      <w:lang w:eastAsia="zh-CN"/>
    </w:rPr>
  </w:style>
  <w:style w:type="character" w:styleId="ListLabel64">
    <w:name w:val="ListLabel 64"/>
    <w:qFormat/>
    <w:rPr>
      <w:rFonts w:ascii="Calibri" w:hAnsi="Calibri" w:cs="Calibri"/>
      <w:color w:val="0000FF"/>
      <w:sz w:val="22"/>
      <w:szCs w:val="22"/>
      <w:u w:val="single"/>
      <w:lang w:eastAsia="zh-CN"/>
    </w:rPr>
  </w:style>
  <w:style w:type="character" w:styleId="ListLabel65">
    <w:name w:val="ListLabel 65"/>
    <w:qFormat/>
    <w:rPr>
      <w:sz w:val="16"/>
      <w:szCs w:val="1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a"/>
    <w:rsid w:val="00a26d43"/>
    <w:pPr>
      <w:jc w:val="both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Footnote Text"/>
    <w:basedOn w:val="Normal"/>
    <w:link w:val="a4"/>
    <w:rsid w:val="001839d6"/>
    <w:pPr/>
    <w:rPr>
      <w:sz w:val="20"/>
    </w:rPr>
  </w:style>
  <w:style w:type="paragraph" w:styleId="Postan" w:customStyle="1">
    <w:name w:val="Postan"/>
    <w:basedOn w:val="Normal"/>
    <w:qFormat/>
    <w:rsid w:val="001839d6"/>
    <w:pPr>
      <w:jc w:val="center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1839d6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uiPriority w:val="99"/>
    <w:qFormat/>
    <w:rsid w:val="001839d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8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216214"/>
    <w:pPr>
      <w:spacing w:before="0" w:after="0"/>
      <w:ind w:left="720" w:hanging="0"/>
      <w:contextualSpacing/>
    </w:pPr>
    <w:rPr/>
  </w:style>
  <w:style w:type="paragraph" w:styleId="Style26">
    <w:name w:val="Header"/>
    <w:basedOn w:val="Normal"/>
    <w:link w:val="ac"/>
    <w:uiPriority w:val="99"/>
    <w:rsid w:val="00a26d43"/>
    <w:pPr>
      <w:tabs>
        <w:tab w:val="center" w:pos="4153" w:leader="none"/>
        <w:tab w:val="right" w:pos="8306" w:leader="none"/>
      </w:tabs>
    </w:pPr>
    <w:rPr/>
  </w:style>
  <w:style w:type="paragraph" w:styleId="Default" w:customStyle="1">
    <w:name w:val="Default"/>
    <w:qFormat/>
    <w:rsid w:val="00a26d4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header" Target="header1.xml"/><Relationship Id="rId10" Type="http://schemas.openxmlformats.org/officeDocument/2006/relationships/hyperlink" Target="/C:/Users/User/Desktop/%D0%BF%D1%80%D0%BE%D0%B5%D0%BA%D1%82%20%D1%80%D0%B0%D1%81%D0%BF%D0%BE%D1%80%D1%8F%D0%B6%D0%B5%D0%BD%D0%B8%D1%8F%20%D0%9C%D0%B5%D1%82%D0%BE%D0%B4%D0%B8%D0%BA%D0%B0.docx#Par1127" TargetMode="External"/><Relationship Id="rId11" Type="http://schemas.openxmlformats.org/officeDocument/2006/relationships/hyperlink" Target="/C:/Users/User/Desktop/%D0%BF%D1%80%D0%BE%D0%B5%D0%BA%D1%82%20%D1%80%D0%B0%D1%81%D0%BF%D0%BE%D1%80%D1%8F%D0%B6%D0%B5%D0%BD%D0%B8%D1%8F%20%D0%9C%D0%B5%D1%82%D0%BE%D0%B4%D0%B8%D0%BA%D0%B0.docx#Par1127" TargetMode="External"/><Relationship Id="rId12" Type="http://schemas.openxmlformats.org/officeDocument/2006/relationships/hyperlink" Target="/C:/Users/User/Desktop/%D0%BF%D1%80%D0%BE%D0%B5%D0%BA%D1%82%20%D1%80%D0%B0%D1%81%D0%BF%D0%BE%D1%80%D1%8F%D0%B6%D0%B5%D0%BD%D0%B8%D1%8F%20%D0%9C%D0%B5%D1%82%D0%BE%D0%B4%D0%B8%D0%BA%D0%B0.docx#Par1462" TargetMode="External"/><Relationship Id="rId13" Type="http://schemas.openxmlformats.org/officeDocument/2006/relationships/header" Target="header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40FF-E4BE-4342-8FE5-A8DDE7BB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Application>LibreOffice/6.0.4.2$Windows_x86 LibreOffice_project/9b0d9b32d5dcda91d2f1a96dc04c645c450872bf</Application>
  <Pages>13</Pages>
  <Words>2384</Words>
  <Characters>17407</Characters>
  <CharactersWithSpaces>19873</CharactersWithSpaces>
  <Paragraphs>494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2019-01-22T10:40:00Z</dcterms:created>
  <dc:creator>Админ</dc:creator>
  <dc:description/>
  <dc:language>ru-RU</dc:language>
  <cp:lastModifiedBy/>
  <cp:lastPrinted>2022-01-19T13:16:51Z</cp:lastPrinted>
  <dcterms:modified xsi:type="dcterms:W3CDTF">2022-01-19T13:17:11Z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