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8B" w:rsidRDefault="0055748B" w:rsidP="00041335">
      <w:pPr>
        <w:pStyle w:val="BodyText"/>
        <w:tabs>
          <w:tab w:val="left" w:pos="0"/>
        </w:tabs>
        <w:rPr>
          <w:b w:val="0"/>
          <w:sz w:val="28"/>
          <w:szCs w:val="28"/>
        </w:rPr>
      </w:pPr>
      <w:r>
        <w:rPr>
          <w:b w:val="0"/>
          <w:sz w:val="28"/>
          <w:szCs w:val="28"/>
        </w:rPr>
        <w:t xml:space="preserve">«Сельская ипотека» </w:t>
      </w:r>
    </w:p>
    <w:p w:rsidR="0055748B" w:rsidRDefault="0055748B" w:rsidP="00041335">
      <w:pPr>
        <w:pStyle w:val="BodyText"/>
        <w:tabs>
          <w:tab w:val="left" w:pos="0"/>
        </w:tabs>
        <w:rPr>
          <w:b w:val="0"/>
          <w:sz w:val="28"/>
          <w:szCs w:val="28"/>
        </w:rPr>
      </w:pPr>
      <w:r>
        <w:rPr>
          <w:b w:val="0"/>
          <w:sz w:val="28"/>
          <w:szCs w:val="28"/>
        </w:rPr>
        <w:t>Ипотечные кредиты (займы) на строительство и приобретение жилья для сельского населения  по льготной ставке государственной программы Российской Федерации «Комплесное развитие сельских территорий»</w:t>
      </w:r>
    </w:p>
    <w:p w:rsidR="0055748B" w:rsidRPr="00E420E5" w:rsidRDefault="0055748B" w:rsidP="00BB5348">
      <w:pPr>
        <w:pStyle w:val="BodyText"/>
        <w:tabs>
          <w:tab w:val="left" w:pos="0"/>
        </w:tabs>
        <w:jc w:val="both"/>
        <w:rPr>
          <w:b w:val="0"/>
          <w:sz w:val="28"/>
          <w:szCs w:val="28"/>
        </w:rPr>
      </w:pPr>
    </w:p>
    <w:p w:rsidR="0055748B" w:rsidRDefault="0055748B" w:rsidP="006A7A86">
      <w:pPr>
        <w:ind w:firstLine="567"/>
        <w:jc w:val="both"/>
        <w:rPr>
          <w:sz w:val="28"/>
          <w:szCs w:val="28"/>
        </w:rPr>
      </w:pPr>
      <w:r>
        <w:rPr>
          <w:sz w:val="28"/>
          <w:szCs w:val="28"/>
        </w:rPr>
        <w:tab/>
        <w:t>В целях реализации направления по созданию условий для обеспечения доступным и комфортным жильем сельского населения путем предоставления ипотечных кредитов (займов) по льготной ставке государственной программы Российской Федерации «Комплексное развитие сельских территорий» и в соответствии с постановлением Правительства Российской Федерации от 30.11.2019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уполномоченными банками активно принимаются заявки граждан по продукту «Сельская ипотека» и потребительским кредитам на повышение уровня благоустройства домовладений, том числе и в Неклиновском районе.</w:t>
      </w:r>
    </w:p>
    <w:p w:rsidR="0055748B" w:rsidRDefault="0055748B" w:rsidP="006A7A86">
      <w:pPr>
        <w:ind w:firstLine="567"/>
        <w:jc w:val="both"/>
        <w:rPr>
          <w:sz w:val="28"/>
          <w:szCs w:val="28"/>
        </w:rPr>
      </w:pPr>
      <w:r>
        <w:rPr>
          <w:sz w:val="28"/>
          <w:szCs w:val="28"/>
        </w:rPr>
        <w:t xml:space="preserve">Льготное кредитование возможно, при приобретении готового и строящегося жилья. Льготная процентная ставка по кредиту на строительство и покупку жилья составляет от 0,1% до 3% годовых, на повышение ровня благоустройства домовладений от 1% до 5% годовых. </w:t>
      </w:r>
    </w:p>
    <w:p w:rsidR="0055748B" w:rsidRDefault="0055748B" w:rsidP="006A7A86">
      <w:pPr>
        <w:ind w:firstLine="567"/>
        <w:jc w:val="both"/>
        <w:rPr>
          <w:sz w:val="28"/>
          <w:szCs w:val="28"/>
        </w:rPr>
      </w:pPr>
      <w:r>
        <w:rPr>
          <w:sz w:val="28"/>
          <w:szCs w:val="28"/>
        </w:rPr>
        <w:t xml:space="preserve">Льготный кредит предоставляется всем категориям заемщиков с гражданством РФ, кроме самозанятых. </w:t>
      </w:r>
    </w:p>
    <w:p w:rsidR="0055748B" w:rsidRDefault="0055748B" w:rsidP="009553A1">
      <w:pPr>
        <w:ind w:firstLine="567"/>
        <w:jc w:val="both"/>
        <w:rPr>
          <w:sz w:val="28"/>
          <w:szCs w:val="28"/>
        </w:rPr>
      </w:pPr>
      <w:r>
        <w:rPr>
          <w:sz w:val="28"/>
          <w:szCs w:val="28"/>
        </w:rPr>
        <w:t>Заемщик самостоятельно принимает решение о выборе уполномоченного банка, акционерного общества для получения льготного ипотечного кредита (займа).</w:t>
      </w:r>
    </w:p>
    <w:p w:rsidR="0055748B" w:rsidRDefault="0055748B" w:rsidP="009553A1">
      <w:pPr>
        <w:ind w:firstLine="567"/>
        <w:jc w:val="both"/>
        <w:rPr>
          <w:sz w:val="28"/>
          <w:szCs w:val="28"/>
        </w:rPr>
      </w:pPr>
      <w:r>
        <w:rPr>
          <w:sz w:val="28"/>
          <w:szCs w:val="28"/>
        </w:rPr>
        <w:t>Отбор российских кредитных организаций в качестве уполномоченных банков осуществляется Министерством сельского хозяйства Российской Федерации.</w:t>
      </w:r>
    </w:p>
    <w:p w:rsidR="0055748B" w:rsidRDefault="0055748B" w:rsidP="009553A1">
      <w:pPr>
        <w:ind w:firstLine="567"/>
        <w:jc w:val="both"/>
        <w:rPr>
          <w:sz w:val="28"/>
          <w:szCs w:val="28"/>
        </w:rPr>
      </w:pPr>
      <w:r>
        <w:rPr>
          <w:sz w:val="28"/>
          <w:szCs w:val="28"/>
        </w:rPr>
        <w:t>Центральным Банком Российской Федерации, в соответствии с Указанием от 22.07.2015 № 3737-У «О методике определения системно значимых кредитных организаций» утвержден перечень системно значимых кредитных организаций, на долю которых приходится более 60% совокупных активов российского банковского сектора.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6092"/>
        <w:gridCol w:w="3399"/>
      </w:tblGrid>
      <w:tr w:rsidR="0055748B">
        <w:tc>
          <w:tcPr>
            <w:tcW w:w="704" w:type="dxa"/>
          </w:tcPr>
          <w:p w:rsidR="0055748B" w:rsidRPr="00EE7E93" w:rsidRDefault="0055748B" w:rsidP="00EE7E93">
            <w:pPr>
              <w:jc w:val="both"/>
              <w:rPr>
                <w:sz w:val="28"/>
                <w:szCs w:val="28"/>
              </w:rPr>
            </w:pPr>
            <w:r w:rsidRPr="00EE7E93">
              <w:rPr>
                <w:sz w:val="28"/>
                <w:szCs w:val="28"/>
              </w:rPr>
              <w:t>№</w:t>
            </w:r>
          </w:p>
          <w:p w:rsidR="0055748B" w:rsidRPr="00EE7E93" w:rsidRDefault="0055748B" w:rsidP="00EE7E93">
            <w:pPr>
              <w:jc w:val="both"/>
              <w:rPr>
                <w:sz w:val="28"/>
                <w:szCs w:val="28"/>
              </w:rPr>
            </w:pPr>
            <w:r w:rsidRPr="00EE7E93">
              <w:rPr>
                <w:sz w:val="28"/>
                <w:szCs w:val="28"/>
              </w:rPr>
              <w:t>п/п</w:t>
            </w:r>
          </w:p>
        </w:tc>
        <w:tc>
          <w:tcPr>
            <w:tcW w:w="6092" w:type="dxa"/>
          </w:tcPr>
          <w:p w:rsidR="0055748B" w:rsidRPr="00EE7E93" w:rsidRDefault="0055748B" w:rsidP="00EE7E93">
            <w:pPr>
              <w:jc w:val="both"/>
              <w:rPr>
                <w:sz w:val="28"/>
                <w:szCs w:val="28"/>
              </w:rPr>
            </w:pPr>
            <w:r w:rsidRPr="00EE7E93">
              <w:rPr>
                <w:sz w:val="28"/>
                <w:szCs w:val="28"/>
              </w:rPr>
              <w:t>Наименование кредитной организации</w:t>
            </w:r>
          </w:p>
        </w:tc>
        <w:tc>
          <w:tcPr>
            <w:tcW w:w="3399" w:type="dxa"/>
          </w:tcPr>
          <w:p w:rsidR="0055748B" w:rsidRPr="00EE7E93" w:rsidRDefault="0055748B" w:rsidP="00EE7E93">
            <w:pPr>
              <w:jc w:val="both"/>
              <w:rPr>
                <w:sz w:val="28"/>
                <w:szCs w:val="28"/>
              </w:rPr>
            </w:pPr>
            <w:r w:rsidRPr="00EE7E93">
              <w:rPr>
                <w:sz w:val="28"/>
                <w:szCs w:val="28"/>
              </w:rPr>
              <w:t>Рег.№</w:t>
            </w:r>
          </w:p>
        </w:tc>
      </w:tr>
      <w:tr w:rsidR="0055748B">
        <w:tc>
          <w:tcPr>
            <w:tcW w:w="704" w:type="dxa"/>
          </w:tcPr>
          <w:p w:rsidR="0055748B" w:rsidRPr="00EE7E93" w:rsidRDefault="0055748B" w:rsidP="00EE7E93">
            <w:pPr>
              <w:jc w:val="both"/>
              <w:rPr>
                <w:sz w:val="28"/>
                <w:szCs w:val="28"/>
              </w:rPr>
            </w:pPr>
            <w:r w:rsidRPr="00EE7E93">
              <w:rPr>
                <w:sz w:val="28"/>
                <w:szCs w:val="28"/>
              </w:rPr>
              <w:t>1</w:t>
            </w:r>
          </w:p>
        </w:tc>
        <w:tc>
          <w:tcPr>
            <w:tcW w:w="6092" w:type="dxa"/>
          </w:tcPr>
          <w:p w:rsidR="0055748B" w:rsidRPr="00EE7E93" w:rsidRDefault="0055748B" w:rsidP="00EE7E93">
            <w:pPr>
              <w:jc w:val="both"/>
              <w:rPr>
                <w:sz w:val="28"/>
                <w:szCs w:val="28"/>
              </w:rPr>
            </w:pPr>
            <w:r w:rsidRPr="00EE7E93">
              <w:rPr>
                <w:sz w:val="28"/>
                <w:szCs w:val="28"/>
              </w:rPr>
              <w:t>АО ЮниКредит Банк</w:t>
            </w:r>
          </w:p>
        </w:tc>
        <w:tc>
          <w:tcPr>
            <w:tcW w:w="3399" w:type="dxa"/>
          </w:tcPr>
          <w:p w:rsidR="0055748B" w:rsidRPr="00EE7E93" w:rsidRDefault="0055748B" w:rsidP="00EE7E93">
            <w:pPr>
              <w:jc w:val="both"/>
              <w:rPr>
                <w:sz w:val="28"/>
                <w:szCs w:val="28"/>
              </w:rPr>
            </w:pPr>
            <w:r w:rsidRPr="00EE7E93">
              <w:rPr>
                <w:sz w:val="28"/>
                <w:szCs w:val="28"/>
              </w:rPr>
              <w:t>1</w:t>
            </w:r>
          </w:p>
        </w:tc>
      </w:tr>
      <w:tr w:rsidR="0055748B">
        <w:tc>
          <w:tcPr>
            <w:tcW w:w="704" w:type="dxa"/>
          </w:tcPr>
          <w:p w:rsidR="0055748B" w:rsidRPr="00EE7E93" w:rsidRDefault="0055748B" w:rsidP="00EE7E93">
            <w:pPr>
              <w:jc w:val="both"/>
              <w:rPr>
                <w:sz w:val="28"/>
                <w:szCs w:val="28"/>
              </w:rPr>
            </w:pPr>
            <w:r w:rsidRPr="00EE7E93">
              <w:rPr>
                <w:sz w:val="28"/>
                <w:szCs w:val="28"/>
              </w:rPr>
              <w:t>2</w:t>
            </w:r>
          </w:p>
        </w:tc>
        <w:tc>
          <w:tcPr>
            <w:tcW w:w="6092" w:type="dxa"/>
          </w:tcPr>
          <w:p w:rsidR="0055748B" w:rsidRPr="00EE7E93" w:rsidRDefault="0055748B" w:rsidP="00EE7E93">
            <w:pPr>
              <w:jc w:val="both"/>
              <w:rPr>
                <w:sz w:val="28"/>
                <w:szCs w:val="28"/>
              </w:rPr>
            </w:pPr>
            <w:r w:rsidRPr="00EE7E93">
              <w:rPr>
                <w:sz w:val="28"/>
                <w:szCs w:val="28"/>
              </w:rPr>
              <w:t>Банк ГПБ (АО)</w:t>
            </w:r>
          </w:p>
        </w:tc>
        <w:tc>
          <w:tcPr>
            <w:tcW w:w="3399" w:type="dxa"/>
          </w:tcPr>
          <w:p w:rsidR="0055748B" w:rsidRPr="00EE7E93" w:rsidRDefault="0055748B" w:rsidP="00EE7E93">
            <w:pPr>
              <w:jc w:val="both"/>
              <w:rPr>
                <w:sz w:val="28"/>
                <w:szCs w:val="28"/>
              </w:rPr>
            </w:pPr>
            <w:r w:rsidRPr="00EE7E93">
              <w:rPr>
                <w:sz w:val="28"/>
                <w:szCs w:val="28"/>
              </w:rPr>
              <w:t>354</w:t>
            </w:r>
          </w:p>
        </w:tc>
      </w:tr>
      <w:tr w:rsidR="0055748B">
        <w:tc>
          <w:tcPr>
            <w:tcW w:w="704" w:type="dxa"/>
          </w:tcPr>
          <w:p w:rsidR="0055748B" w:rsidRPr="00EE7E93" w:rsidRDefault="0055748B" w:rsidP="00EE7E93">
            <w:pPr>
              <w:jc w:val="both"/>
              <w:rPr>
                <w:sz w:val="28"/>
                <w:szCs w:val="28"/>
              </w:rPr>
            </w:pPr>
            <w:r w:rsidRPr="00EE7E93">
              <w:rPr>
                <w:sz w:val="28"/>
                <w:szCs w:val="28"/>
              </w:rPr>
              <w:t>3</w:t>
            </w:r>
          </w:p>
        </w:tc>
        <w:tc>
          <w:tcPr>
            <w:tcW w:w="6092" w:type="dxa"/>
          </w:tcPr>
          <w:p w:rsidR="0055748B" w:rsidRPr="00EE7E93" w:rsidRDefault="0055748B" w:rsidP="00EE7E93">
            <w:pPr>
              <w:jc w:val="both"/>
              <w:rPr>
                <w:sz w:val="28"/>
                <w:szCs w:val="28"/>
              </w:rPr>
            </w:pPr>
            <w:r w:rsidRPr="00EE7E93">
              <w:rPr>
                <w:sz w:val="28"/>
                <w:szCs w:val="28"/>
              </w:rPr>
              <w:t>Банк ВТБ (ПАО)</w:t>
            </w:r>
          </w:p>
        </w:tc>
        <w:tc>
          <w:tcPr>
            <w:tcW w:w="3399" w:type="dxa"/>
          </w:tcPr>
          <w:p w:rsidR="0055748B" w:rsidRPr="00EE7E93" w:rsidRDefault="0055748B" w:rsidP="00EE7E93">
            <w:pPr>
              <w:jc w:val="both"/>
              <w:rPr>
                <w:sz w:val="28"/>
                <w:szCs w:val="28"/>
              </w:rPr>
            </w:pPr>
            <w:r w:rsidRPr="00EE7E93">
              <w:rPr>
                <w:sz w:val="28"/>
                <w:szCs w:val="28"/>
              </w:rPr>
              <w:t>1000</w:t>
            </w:r>
          </w:p>
        </w:tc>
      </w:tr>
      <w:tr w:rsidR="0055748B">
        <w:tc>
          <w:tcPr>
            <w:tcW w:w="704" w:type="dxa"/>
          </w:tcPr>
          <w:p w:rsidR="0055748B" w:rsidRPr="00EE7E93" w:rsidRDefault="0055748B" w:rsidP="00EE7E93">
            <w:pPr>
              <w:jc w:val="both"/>
              <w:rPr>
                <w:sz w:val="28"/>
                <w:szCs w:val="28"/>
              </w:rPr>
            </w:pPr>
            <w:r w:rsidRPr="00EE7E93">
              <w:rPr>
                <w:sz w:val="28"/>
                <w:szCs w:val="28"/>
              </w:rPr>
              <w:t>4</w:t>
            </w:r>
          </w:p>
        </w:tc>
        <w:tc>
          <w:tcPr>
            <w:tcW w:w="6092" w:type="dxa"/>
          </w:tcPr>
          <w:p w:rsidR="0055748B" w:rsidRPr="00EE7E93" w:rsidRDefault="0055748B" w:rsidP="00EE7E93">
            <w:pPr>
              <w:jc w:val="both"/>
              <w:rPr>
                <w:sz w:val="28"/>
                <w:szCs w:val="28"/>
              </w:rPr>
            </w:pPr>
            <w:r w:rsidRPr="00EE7E93">
              <w:rPr>
                <w:sz w:val="28"/>
                <w:szCs w:val="28"/>
              </w:rPr>
              <w:t>АО «АЛЬФА-БАНК»</w:t>
            </w:r>
          </w:p>
        </w:tc>
        <w:tc>
          <w:tcPr>
            <w:tcW w:w="3399" w:type="dxa"/>
          </w:tcPr>
          <w:p w:rsidR="0055748B" w:rsidRPr="00EE7E93" w:rsidRDefault="0055748B" w:rsidP="00EE7E93">
            <w:pPr>
              <w:jc w:val="both"/>
              <w:rPr>
                <w:sz w:val="28"/>
                <w:szCs w:val="28"/>
              </w:rPr>
            </w:pPr>
            <w:r w:rsidRPr="00EE7E93">
              <w:rPr>
                <w:sz w:val="28"/>
                <w:szCs w:val="28"/>
              </w:rPr>
              <w:t>1326</w:t>
            </w:r>
          </w:p>
        </w:tc>
      </w:tr>
      <w:tr w:rsidR="0055748B">
        <w:tc>
          <w:tcPr>
            <w:tcW w:w="704" w:type="dxa"/>
          </w:tcPr>
          <w:p w:rsidR="0055748B" w:rsidRPr="00EE7E93" w:rsidRDefault="0055748B" w:rsidP="00EE7E93">
            <w:pPr>
              <w:jc w:val="both"/>
              <w:rPr>
                <w:sz w:val="28"/>
                <w:szCs w:val="28"/>
              </w:rPr>
            </w:pPr>
            <w:r w:rsidRPr="00EE7E93">
              <w:rPr>
                <w:sz w:val="28"/>
                <w:szCs w:val="28"/>
              </w:rPr>
              <w:t>5</w:t>
            </w:r>
          </w:p>
        </w:tc>
        <w:tc>
          <w:tcPr>
            <w:tcW w:w="6092" w:type="dxa"/>
          </w:tcPr>
          <w:p w:rsidR="0055748B" w:rsidRPr="00EE7E93" w:rsidRDefault="0055748B" w:rsidP="00EE7E93">
            <w:pPr>
              <w:jc w:val="both"/>
              <w:rPr>
                <w:sz w:val="28"/>
                <w:szCs w:val="28"/>
              </w:rPr>
            </w:pPr>
            <w:r w:rsidRPr="00EE7E93">
              <w:rPr>
                <w:sz w:val="28"/>
                <w:szCs w:val="28"/>
              </w:rPr>
              <w:t>ПАО Сбербанк</w:t>
            </w:r>
          </w:p>
        </w:tc>
        <w:tc>
          <w:tcPr>
            <w:tcW w:w="3399" w:type="dxa"/>
          </w:tcPr>
          <w:p w:rsidR="0055748B" w:rsidRPr="00EE7E93" w:rsidRDefault="0055748B" w:rsidP="00EE7E93">
            <w:pPr>
              <w:jc w:val="both"/>
              <w:rPr>
                <w:sz w:val="28"/>
                <w:szCs w:val="28"/>
              </w:rPr>
            </w:pPr>
            <w:r w:rsidRPr="00EE7E93">
              <w:rPr>
                <w:sz w:val="28"/>
                <w:szCs w:val="28"/>
              </w:rPr>
              <w:t>1481</w:t>
            </w:r>
          </w:p>
        </w:tc>
      </w:tr>
      <w:tr w:rsidR="0055748B">
        <w:tc>
          <w:tcPr>
            <w:tcW w:w="704" w:type="dxa"/>
          </w:tcPr>
          <w:p w:rsidR="0055748B" w:rsidRPr="00EE7E93" w:rsidRDefault="0055748B" w:rsidP="00EE7E93">
            <w:pPr>
              <w:jc w:val="both"/>
              <w:rPr>
                <w:sz w:val="28"/>
                <w:szCs w:val="28"/>
              </w:rPr>
            </w:pPr>
            <w:r w:rsidRPr="00EE7E93">
              <w:rPr>
                <w:sz w:val="28"/>
                <w:szCs w:val="28"/>
              </w:rPr>
              <w:t>6</w:t>
            </w:r>
          </w:p>
        </w:tc>
        <w:tc>
          <w:tcPr>
            <w:tcW w:w="6092" w:type="dxa"/>
          </w:tcPr>
          <w:p w:rsidR="0055748B" w:rsidRPr="00EE7E93" w:rsidRDefault="0055748B" w:rsidP="00EE7E93">
            <w:pPr>
              <w:jc w:val="both"/>
              <w:rPr>
                <w:sz w:val="28"/>
                <w:szCs w:val="28"/>
              </w:rPr>
            </w:pPr>
            <w:r w:rsidRPr="00EE7E93">
              <w:rPr>
                <w:sz w:val="28"/>
                <w:szCs w:val="28"/>
              </w:rPr>
              <w:t>ПАО «Московский Кредитный Банк»</w:t>
            </w:r>
          </w:p>
        </w:tc>
        <w:tc>
          <w:tcPr>
            <w:tcW w:w="3399" w:type="dxa"/>
          </w:tcPr>
          <w:p w:rsidR="0055748B" w:rsidRPr="00EE7E93" w:rsidRDefault="0055748B" w:rsidP="00EE7E93">
            <w:pPr>
              <w:jc w:val="both"/>
              <w:rPr>
                <w:sz w:val="28"/>
                <w:szCs w:val="28"/>
              </w:rPr>
            </w:pPr>
            <w:r w:rsidRPr="00EE7E93">
              <w:rPr>
                <w:sz w:val="28"/>
                <w:szCs w:val="28"/>
              </w:rPr>
              <w:t>1978</w:t>
            </w:r>
          </w:p>
        </w:tc>
      </w:tr>
      <w:tr w:rsidR="0055748B">
        <w:tc>
          <w:tcPr>
            <w:tcW w:w="704" w:type="dxa"/>
          </w:tcPr>
          <w:p w:rsidR="0055748B" w:rsidRPr="00EE7E93" w:rsidRDefault="0055748B" w:rsidP="00EE7E93">
            <w:pPr>
              <w:jc w:val="both"/>
              <w:rPr>
                <w:sz w:val="28"/>
                <w:szCs w:val="28"/>
              </w:rPr>
            </w:pPr>
            <w:r w:rsidRPr="00EE7E93">
              <w:rPr>
                <w:sz w:val="28"/>
                <w:szCs w:val="28"/>
              </w:rPr>
              <w:t>7</w:t>
            </w:r>
          </w:p>
        </w:tc>
        <w:tc>
          <w:tcPr>
            <w:tcW w:w="6092" w:type="dxa"/>
          </w:tcPr>
          <w:p w:rsidR="0055748B" w:rsidRPr="00EE7E93" w:rsidRDefault="0055748B" w:rsidP="00EE7E93">
            <w:pPr>
              <w:jc w:val="both"/>
              <w:rPr>
                <w:sz w:val="28"/>
                <w:szCs w:val="28"/>
              </w:rPr>
            </w:pPr>
            <w:r w:rsidRPr="00EE7E93">
              <w:rPr>
                <w:sz w:val="28"/>
                <w:szCs w:val="28"/>
              </w:rPr>
              <w:t>ПАО Банк «ФК Открытие»</w:t>
            </w:r>
          </w:p>
        </w:tc>
        <w:tc>
          <w:tcPr>
            <w:tcW w:w="3399" w:type="dxa"/>
          </w:tcPr>
          <w:p w:rsidR="0055748B" w:rsidRPr="00EE7E93" w:rsidRDefault="0055748B" w:rsidP="00EE7E93">
            <w:pPr>
              <w:jc w:val="both"/>
              <w:rPr>
                <w:sz w:val="28"/>
                <w:szCs w:val="28"/>
              </w:rPr>
            </w:pPr>
            <w:r w:rsidRPr="00EE7E93">
              <w:rPr>
                <w:sz w:val="28"/>
                <w:szCs w:val="28"/>
              </w:rPr>
              <w:t>2209</w:t>
            </w:r>
          </w:p>
        </w:tc>
      </w:tr>
      <w:tr w:rsidR="0055748B">
        <w:tc>
          <w:tcPr>
            <w:tcW w:w="704" w:type="dxa"/>
          </w:tcPr>
          <w:p w:rsidR="0055748B" w:rsidRPr="00EE7E93" w:rsidRDefault="0055748B" w:rsidP="00EE7E93">
            <w:pPr>
              <w:jc w:val="both"/>
              <w:rPr>
                <w:sz w:val="28"/>
                <w:szCs w:val="28"/>
              </w:rPr>
            </w:pPr>
            <w:r w:rsidRPr="00EE7E93">
              <w:rPr>
                <w:sz w:val="28"/>
                <w:szCs w:val="28"/>
              </w:rPr>
              <w:t>8</w:t>
            </w:r>
          </w:p>
        </w:tc>
        <w:tc>
          <w:tcPr>
            <w:tcW w:w="6092" w:type="dxa"/>
          </w:tcPr>
          <w:p w:rsidR="0055748B" w:rsidRPr="00EE7E93" w:rsidRDefault="0055748B" w:rsidP="00EE7E93">
            <w:pPr>
              <w:jc w:val="both"/>
              <w:rPr>
                <w:sz w:val="28"/>
                <w:szCs w:val="28"/>
              </w:rPr>
            </w:pPr>
            <w:r w:rsidRPr="00EE7E93">
              <w:rPr>
                <w:sz w:val="28"/>
                <w:szCs w:val="28"/>
              </w:rPr>
              <w:t>ПАО РОСБАНК</w:t>
            </w:r>
          </w:p>
        </w:tc>
        <w:tc>
          <w:tcPr>
            <w:tcW w:w="3399" w:type="dxa"/>
          </w:tcPr>
          <w:p w:rsidR="0055748B" w:rsidRPr="00EE7E93" w:rsidRDefault="0055748B" w:rsidP="00EE7E93">
            <w:pPr>
              <w:jc w:val="both"/>
              <w:rPr>
                <w:sz w:val="28"/>
                <w:szCs w:val="28"/>
              </w:rPr>
            </w:pPr>
            <w:r w:rsidRPr="00EE7E93">
              <w:rPr>
                <w:sz w:val="28"/>
                <w:szCs w:val="28"/>
              </w:rPr>
              <w:t>2272</w:t>
            </w:r>
          </w:p>
        </w:tc>
      </w:tr>
      <w:tr w:rsidR="0055748B">
        <w:tc>
          <w:tcPr>
            <w:tcW w:w="704" w:type="dxa"/>
          </w:tcPr>
          <w:p w:rsidR="0055748B" w:rsidRPr="00EE7E93" w:rsidRDefault="0055748B" w:rsidP="00EE7E93">
            <w:pPr>
              <w:jc w:val="both"/>
              <w:rPr>
                <w:sz w:val="28"/>
                <w:szCs w:val="28"/>
              </w:rPr>
            </w:pPr>
            <w:r w:rsidRPr="00EE7E93">
              <w:rPr>
                <w:sz w:val="28"/>
                <w:szCs w:val="28"/>
              </w:rPr>
              <w:t>9</w:t>
            </w:r>
          </w:p>
        </w:tc>
        <w:tc>
          <w:tcPr>
            <w:tcW w:w="6092" w:type="dxa"/>
          </w:tcPr>
          <w:p w:rsidR="0055748B" w:rsidRPr="00EE7E93" w:rsidRDefault="0055748B" w:rsidP="00EE7E93">
            <w:pPr>
              <w:jc w:val="both"/>
              <w:rPr>
                <w:sz w:val="28"/>
                <w:szCs w:val="28"/>
              </w:rPr>
            </w:pPr>
            <w:r w:rsidRPr="00EE7E93">
              <w:rPr>
                <w:sz w:val="28"/>
                <w:szCs w:val="28"/>
              </w:rPr>
              <w:t>ПАО «Промсвязьбанк»</w:t>
            </w:r>
          </w:p>
        </w:tc>
        <w:tc>
          <w:tcPr>
            <w:tcW w:w="3399" w:type="dxa"/>
          </w:tcPr>
          <w:p w:rsidR="0055748B" w:rsidRPr="00EE7E93" w:rsidRDefault="0055748B" w:rsidP="00EE7E93">
            <w:pPr>
              <w:jc w:val="both"/>
              <w:rPr>
                <w:sz w:val="28"/>
                <w:szCs w:val="28"/>
              </w:rPr>
            </w:pPr>
            <w:r w:rsidRPr="00EE7E93">
              <w:rPr>
                <w:sz w:val="28"/>
                <w:szCs w:val="28"/>
              </w:rPr>
              <w:t>3251</w:t>
            </w:r>
          </w:p>
        </w:tc>
      </w:tr>
      <w:tr w:rsidR="0055748B">
        <w:tc>
          <w:tcPr>
            <w:tcW w:w="704" w:type="dxa"/>
          </w:tcPr>
          <w:p w:rsidR="0055748B" w:rsidRPr="00EE7E93" w:rsidRDefault="0055748B" w:rsidP="00EE7E93">
            <w:pPr>
              <w:jc w:val="both"/>
              <w:rPr>
                <w:sz w:val="28"/>
                <w:szCs w:val="28"/>
              </w:rPr>
            </w:pPr>
            <w:r w:rsidRPr="00EE7E93">
              <w:rPr>
                <w:sz w:val="28"/>
                <w:szCs w:val="28"/>
              </w:rPr>
              <w:t>10</w:t>
            </w:r>
          </w:p>
        </w:tc>
        <w:tc>
          <w:tcPr>
            <w:tcW w:w="6092" w:type="dxa"/>
          </w:tcPr>
          <w:p w:rsidR="0055748B" w:rsidRPr="00EE7E93" w:rsidRDefault="0055748B" w:rsidP="00EE7E93">
            <w:pPr>
              <w:jc w:val="both"/>
              <w:rPr>
                <w:sz w:val="28"/>
                <w:szCs w:val="28"/>
              </w:rPr>
            </w:pPr>
            <w:r w:rsidRPr="00EE7E93">
              <w:rPr>
                <w:sz w:val="28"/>
                <w:szCs w:val="28"/>
              </w:rPr>
              <w:t>АО «Райффайзенбанк»</w:t>
            </w:r>
          </w:p>
        </w:tc>
        <w:tc>
          <w:tcPr>
            <w:tcW w:w="3399" w:type="dxa"/>
          </w:tcPr>
          <w:p w:rsidR="0055748B" w:rsidRPr="00EE7E93" w:rsidRDefault="0055748B" w:rsidP="00EE7E93">
            <w:pPr>
              <w:jc w:val="both"/>
              <w:rPr>
                <w:sz w:val="28"/>
                <w:szCs w:val="28"/>
              </w:rPr>
            </w:pPr>
            <w:r w:rsidRPr="00EE7E93">
              <w:rPr>
                <w:sz w:val="28"/>
                <w:szCs w:val="28"/>
              </w:rPr>
              <w:t>3292</w:t>
            </w:r>
          </w:p>
        </w:tc>
      </w:tr>
      <w:tr w:rsidR="0055748B">
        <w:tc>
          <w:tcPr>
            <w:tcW w:w="704" w:type="dxa"/>
          </w:tcPr>
          <w:p w:rsidR="0055748B" w:rsidRPr="00EE7E93" w:rsidRDefault="0055748B" w:rsidP="00EE7E93">
            <w:pPr>
              <w:jc w:val="both"/>
              <w:rPr>
                <w:sz w:val="28"/>
                <w:szCs w:val="28"/>
              </w:rPr>
            </w:pPr>
            <w:r w:rsidRPr="00EE7E93">
              <w:rPr>
                <w:sz w:val="28"/>
                <w:szCs w:val="28"/>
              </w:rPr>
              <w:t>11</w:t>
            </w:r>
          </w:p>
        </w:tc>
        <w:tc>
          <w:tcPr>
            <w:tcW w:w="6092" w:type="dxa"/>
          </w:tcPr>
          <w:p w:rsidR="0055748B" w:rsidRPr="00EE7E93" w:rsidRDefault="0055748B" w:rsidP="00EE7E93">
            <w:pPr>
              <w:jc w:val="both"/>
              <w:rPr>
                <w:sz w:val="28"/>
                <w:szCs w:val="28"/>
              </w:rPr>
            </w:pPr>
            <w:r w:rsidRPr="00EE7E93">
              <w:rPr>
                <w:sz w:val="28"/>
                <w:szCs w:val="28"/>
              </w:rPr>
              <w:t>АО «Россельхозбанк»</w:t>
            </w:r>
          </w:p>
        </w:tc>
        <w:tc>
          <w:tcPr>
            <w:tcW w:w="3399" w:type="dxa"/>
          </w:tcPr>
          <w:p w:rsidR="0055748B" w:rsidRPr="00EE7E93" w:rsidRDefault="0055748B" w:rsidP="00EE7E93">
            <w:pPr>
              <w:jc w:val="both"/>
              <w:rPr>
                <w:sz w:val="28"/>
                <w:szCs w:val="28"/>
              </w:rPr>
            </w:pPr>
            <w:r w:rsidRPr="00EE7E93">
              <w:rPr>
                <w:sz w:val="28"/>
                <w:szCs w:val="28"/>
              </w:rPr>
              <w:t>3349</w:t>
            </w:r>
          </w:p>
        </w:tc>
      </w:tr>
    </w:tbl>
    <w:p w:rsidR="0055748B" w:rsidRDefault="0055748B" w:rsidP="009553A1">
      <w:pPr>
        <w:ind w:firstLine="567"/>
        <w:jc w:val="both"/>
        <w:rPr>
          <w:sz w:val="28"/>
          <w:szCs w:val="28"/>
        </w:rPr>
      </w:pPr>
      <w:r>
        <w:rPr>
          <w:sz w:val="28"/>
          <w:szCs w:val="28"/>
        </w:rPr>
        <w:t xml:space="preserve">Заемщик, претендующий на получение льготного ипотечного кредита (займа), льготного потребительского кредита на повышение благоустройства домовладений, предоставляет в выбранный им уполномоченный банк, акционерное общество документы в соответствии с требованиями уполномоченного банка, акционерного общества. </w:t>
      </w:r>
    </w:p>
    <w:p w:rsidR="0055748B" w:rsidRDefault="0055748B" w:rsidP="009553A1">
      <w:pPr>
        <w:ind w:firstLine="567"/>
        <w:jc w:val="both"/>
        <w:rPr>
          <w:sz w:val="28"/>
          <w:szCs w:val="28"/>
        </w:rPr>
      </w:pPr>
      <w:r>
        <w:rPr>
          <w:sz w:val="28"/>
          <w:szCs w:val="28"/>
        </w:rPr>
        <w:t>Уполномоченный банк рассматривает возможность предоставления льготного потребительского кредита (займа), льготного потребительского кредита на повышение благоустройства домовладений, в соответствии с правилами и процедурами, принятыми в уполномоченном банке.</w:t>
      </w:r>
    </w:p>
    <w:p w:rsidR="0055748B" w:rsidRDefault="0055748B" w:rsidP="009553A1">
      <w:pPr>
        <w:ind w:firstLine="567"/>
        <w:jc w:val="both"/>
        <w:rPr>
          <w:sz w:val="28"/>
          <w:szCs w:val="28"/>
        </w:rPr>
      </w:pPr>
      <w:r>
        <w:rPr>
          <w:sz w:val="28"/>
          <w:szCs w:val="28"/>
        </w:rPr>
        <w:t xml:space="preserve">Подробную информацию об условиях предоставления продукта/услуги «Сельская ипотека», льготном потребительском кредитовании на благоустройство домовладений, </w:t>
      </w:r>
      <w:bookmarkStart w:id="0" w:name="_GoBack"/>
      <w:bookmarkEnd w:id="0"/>
      <w:r>
        <w:rPr>
          <w:sz w:val="28"/>
          <w:szCs w:val="28"/>
        </w:rPr>
        <w:t>тарифах, требованиях к сельским жителям и их домовладениям, перечни сельских территорий (сельских агломераций) и иные подробности можно уточнить по телефону, на официальном сайте, и при личном обращении в офисы:</w:t>
      </w:r>
    </w:p>
    <w:p w:rsidR="0055748B" w:rsidRDefault="0055748B" w:rsidP="009553A1">
      <w:pPr>
        <w:jc w:val="both"/>
        <w:rPr>
          <w:sz w:val="28"/>
          <w:szCs w:val="28"/>
        </w:rPr>
      </w:pPr>
      <w:r>
        <w:rPr>
          <w:sz w:val="28"/>
          <w:szCs w:val="28"/>
        </w:rPr>
        <w:t xml:space="preserve">АО «ДОМ.РФ» </w:t>
      </w:r>
    </w:p>
    <w:p w:rsidR="0055748B" w:rsidRDefault="0055748B" w:rsidP="009553A1">
      <w:pPr>
        <w:jc w:val="both"/>
        <w:rPr>
          <w:sz w:val="28"/>
          <w:szCs w:val="28"/>
        </w:rPr>
      </w:pPr>
      <w:r>
        <w:rPr>
          <w:sz w:val="28"/>
          <w:szCs w:val="28"/>
        </w:rPr>
        <w:t>+7(495) 775-47-40, Консультационный центр: 8 800 775-11-22</w:t>
      </w:r>
    </w:p>
    <w:p w:rsidR="0055748B" w:rsidRDefault="0055748B" w:rsidP="009553A1">
      <w:pPr>
        <w:jc w:val="both"/>
        <w:rPr>
          <w:sz w:val="28"/>
          <w:szCs w:val="28"/>
        </w:rPr>
      </w:pPr>
      <w:r>
        <w:rPr>
          <w:sz w:val="28"/>
          <w:szCs w:val="28"/>
        </w:rPr>
        <w:t>Москва, Воздвиженка,10</w:t>
      </w:r>
    </w:p>
    <w:p w:rsidR="0055748B" w:rsidRDefault="0055748B" w:rsidP="009553A1">
      <w:pPr>
        <w:jc w:val="both"/>
        <w:rPr>
          <w:sz w:val="28"/>
          <w:szCs w:val="28"/>
        </w:rPr>
      </w:pPr>
      <w:r>
        <w:rPr>
          <w:sz w:val="28"/>
          <w:szCs w:val="28"/>
        </w:rPr>
        <w:t>а также, подразделения уполномоченных Банков, расположенных на территории Неклиновского района</w:t>
      </w:r>
    </w:p>
    <w:p w:rsidR="0055748B" w:rsidRDefault="0055748B" w:rsidP="009553A1">
      <w:pPr>
        <w:jc w:val="both"/>
        <w:rPr>
          <w:sz w:val="28"/>
          <w:szCs w:val="28"/>
        </w:rPr>
      </w:pPr>
      <w:r>
        <w:rPr>
          <w:sz w:val="28"/>
          <w:szCs w:val="28"/>
        </w:rPr>
        <w:t>АО «Россельхозбанк», ДО 3349/7/32, 346830 с. Покровское, ул. Ленина, 286</w:t>
      </w:r>
    </w:p>
    <w:p w:rsidR="0055748B" w:rsidRDefault="0055748B" w:rsidP="009553A1">
      <w:pPr>
        <w:jc w:val="both"/>
        <w:rPr>
          <w:sz w:val="28"/>
          <w:szCs w:val="28"/>
        </w:rPr>
      </w:pPr>
      <w:r>
        <w:rPr>
          <w:sz w:val="28"/>
          <w:szCs w:val="28"/>
        </w:rPr>
        <w:t>ПАО «Сбербанк», ДО 5221/0561, 346830 с. Покровское, ул. Ленина, 275</w:t>
      </w:r>
    </w:p>
    <w:p w:rsidR="0055748B" w:rsidRDefault="0055748B" w:rsidP="009553A1">
      <w:pPr>
        <w:jc w:val="both"/>
        <w:rPr>
          <w:sz w:val="28"/>
          <w:szCs w:val="28"/>
        </w:rPr>
      </w:pPr>
      <w:r>
        <w:rPr>
          <w:sz w:val="28"/>
          <w:szCs w:val="28"/>
        </w:rPr>
        <w:t>Банк «Центр-Инвест» ДО «Покровский», 346830 с. Покровское, ул. Ленина, 18</w:t>
      </w:r>
    </w:p>
    <w:p w:rsidR="0055748B" w:rsidRDefault="0055748B" w:rsidP="006A7A86">
      <w:pPr>
        <w:ind w:firstLine="567"/>
        <w:jc w:val="both"/>
        <w:rPr>
          <w:sz w:val="28"/>
          <w:szCs w:val="28"/>
        </w:rPr>
      </w:pPr>
    </w:p>
    <w:p w:rsidR="0055748B" w:rsidRDefault="0055748B" w:rsidP="006A7A86">
      <w:pPr>
        <w:ind w:firstLine="567"/>
        <w:jc w:val="both"/>
        <w:rPr>
          <w:sz w:val="28"/>
          <w:szCs w:val="28"/>
        </w:rPr>
      </w:pPr>
    </w:p>
    <w:p w:rsidR="0055748B" w:rsidRDefault="0055748B" w:rsidP="006A7A86">
      <w:pPr>
        <w:ind w:firstLine="567"/>
        <w:jc w:val="both"/>
        <w:rPr>
          <w:sz w:val="28"/>
          <w:szCs w:val="28"/>
        </w:rPr>
      </w:pPr>
    </w:p>
    <w:p w:rsidR="0055748B" w:rsidRDefault="0055748B" w:rsidP="00041335">
      <w:pPr>
        <w:jc w:val="both"/>
        <w:rPr>
          <w:sz w:val="28"/>
          <w:szCs w:val="28"/>
        </w:rPr>
      </w:pPr>
    </w:p>
    <w:p w:rsidR="0055748B" w:rsidRDefault="0055748B" w:rsidP="00041335">
      <w:pPr>
        <w:jc w:val="both"/>
        <w:rPr>
          <w:sz w:val="28"/>
          <w:szCs w:val="28"/>
        </w:rPr>
      </w:pPr>
    </w:p>
    <w:p w:rsidR="0055748B" w:rsidRDefault="0055748B" w:rsidP="00041335">
      <w:pPr>
        <w:jc w:val="both"/>
        <w:rPr>
          <w:sz w:val="28"/>
          <w:szCs w:val="28"/>
        </w:rPr>
      </w:pPr>
    </w:p>
    <w:p w:rsidR="0055748B" w:rsidRPr="00C019AD" w:rsidRDefault="0055748B" w:rsidP="00041335">
      <w:pPr>
        <w:jc w:val="both"/>
        <w:rPr>
          <w:sz w:val="28"/>
          <w:szCs w:val="28"/>
        </w:rPr>
      </w:pPr>
      <w:bookmarkStart w:id="1" w:name="EXECUTOR"/>
      <w:bookmarkEnd w:id="1"/>
    </w:p>
    <w:sectPr w:rsidR="0055748B" w:rsidRPr="00C019AD" w:rsidSect="003B1A5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03A"/>
    <w:rsid w:val="000039D3"/>
    <w:rsid w:val="00011E77"/>
    <w:rsid w:val="00041335"/>
    <w:rsid w:val="00047DE9"/>
    <w:rsid w:val="0006144C"/>
    <w:rsid w:val="00082F40"/>
    <w:rsid w:val="000A4DF5"/>
    <w:rsid w:val="000D3389"/>
    <w:rsid w:val="000D46B8"/>
    <w:rsid w:val="000E409D"/>
    <w:rsid w:val="000F4656"/>
    <w:rsid w:val="00132AD9"/>
    <w:rsid w:val="00156C24"/>
    <w:rsid w:val="00167F58"/>
    <w:rsid w:val="002D205D"/>
    <w:rsid w:val="002D4C1B"/>
    <w:rsid w:val="002E119D"/>
    <w:rsid w:val="002E1748"/>
    <w:rsid w:val="002F1204"/>
    <w:rsid w:val="00307285"/>
    <w:rsid w:val="00321ADA"/>
    <w:rsid w:val="0033266E"/>
    <w:rsid w:val="0034765C"/>
    <w:rsid w:val="0036645C"/>
    <w:rsid w:val="003666B5"/>
    <w:rsid w:val="00370C54"/>
    <w:rsid w:val="0037414B"/>
    <w:rsid w:val="003755E0"/>
    <w:rsid w:val="00384F0B"/>
    <w:rsid w:val="00384FF7"/>
    <w:rsid w:val="003873EF"/>
    <w:rsid w:val="003B1A59"/>
    <w:rsid w:val="003D6852"/>
    <w:rsid w:val="003E2EEC"/>
    <w:rsid w:val="003E58E1"/>
    <w:rsid w:val="004044EC"/>
    <w:rsid w:val="004073DA"/>
    <w:rsid w:val="00407871"/>
    <w:rsid w:val="00413F37"/>
    <w:rsid w:val="00422F82"/>
    <w:rsid w:val="00425FB7"/>
    <w:rsid w:val="00430473"/>
    <w:rsid w:val="004424B5"/>
    <w:rsid w:val="00474305"/>
    <w:rsid w:val="004A5974"/>
    <w:rsid w:val="004D25B4"/>
    <w:rsid w:val="004D4B14"/>
    <w:rsid w:val="00507ED8"/>
    <w:rsid w:val="0052023B"/>
    <w:rsid w:val="00526B0B"/>
    <w:rsid w:val="00527766"/>
    <w:rsid w:val="00542D56"/>
    <w:rsid w:val="0055748B"/>
    <w:rsid w:val="005724AC"/>
    <w:rsid w:val="00586B5C"/>
    <w:rsid w:val="005C07F0"/>
    <w:rsid w:val="005D24A0"/>
    <w:rsid w:val="005D290E"/>
    <w:rsid w:val="005D4D4E"/>
    <w:rsid w:val="005F5EC1"/>
    <w:rsid w:val="005F7D78"/>
    <w:rsid w:val="00605717"/>
    <w:rsid w:val="00631364"/>
    <w:rsid w:val="0063266D"/>
    <w:rsid w:val="006535CC"/>
    <w:rsid w:val="0069622D"/>
    <w:rsid w:val="006A54BE"/>
    <w:rsid w:val="006A675B"/>
    <w:rsid w:val="006A7A86"/>
    <w:rsid w:val="006B11B1"/>
    <w:rsid w:val="006B531B"/>
    <w:rsid w:val="006C1F93"/>
    <w:rsid w:val="006C3E62"/>
    <w:rsid w:val="006D33EB"/>
    <w:rsid w:val="00712550"/>
    <w:rsid w:val="00724181"/>
    <w:rsid w:val="00732605"/>
    <w:rsid w:val="00755E4C"/>
    <w:rsid w:val="007718DB"/>
    <w:rsid w:val="007D2412"/>
    <w:rsid w:val="007D6D10"/>
    <w:rsid w:val="007E3A3A"/>
    <w:rsid w:val="007E5B6D"/>
    <w:rsid w:val="00820299"/>
    <w:rsid w:val="008549F8"/>
    <w:rsid w:val="0085670A"/>
    <w:rsid w:val="008603E5"/>
    <w:rsid w:val="00860B36"/>
    <w:rsid w:val="008713B8"/>
    <w:rsid w:val="0088209E"/>
    <w:rsid w:val="00884F4D"/>
    <w:rsid w:val="00890065"/>
    <w:rsid w:val="008D39BA"/>
    <w:rsid w:val="008D4499"/>
    <w:rsid w:val="00905AAA"/>
    <w:rsid w:val="009304BA"/>
    <w:rsid w:val="00937606"/>
    <w:rsid w:val="00941ED3"/>
    <w:rsid w:val="00954324"/>
    <w:rsid w:val="009553A1"/>
    <w:rsid w:val="00965C67"/>
    <w:rsid w:val="009725D0"/>
    <w:rsid w:val="00991C15"/>
    <w:rsid w:val="009A73C5"/>
    <w:rsid w:val="009D3033"/>
    <w:rsid w:val="009F1CB3"/>
    <w:rsid w:val="00A2226E"/>
    <w:rsid w:val="00A31428"/>
    <w:rsid w:val="00A316CF"/>
    <w:rsid w:val="00A44F4A"/>
    <w:rsid w:val="00A55962"/>
    <w:rsid w:val="00A9039F"/>
    <w:rsid w:val="00A93BA6"/>
    <w:rsid w:val="00AA1D52"/>
    <w:rsid w:val="00AC596B"/>
    <w:rsid w:val="00AD156D"/>
    <w:rsid w:val="00B10726"/>
    <w:rsid w:val="00B1717A"/>
    <w:rsid w:val="00B34C37"/>
    <w:rsid w:val="00B37D67"/>
    <w:rsid w:val="00B42366"/>
    <w:rsid w:val="00B520FC"/>
    <w:rsid w:val="00B52637"/>
    <w:rsid w:val="00B9098C"/>
    <w:rsid w:val="00BB5348"/>
    <w:rsid w:val="00BC0991"/>
    <w:rsid w:val="00BC54AC"/>
    <w:rsid w:val="00BD729C"/>
    <w:rsid w:val="00BE6029"/>
    <w:rsid w:val="00BF1E81"/>
    <w:rsid w:val="00C019AD"/>
    <w:rsid w:val="00C01B34"/>
    <w:rsid w:val="00C14659"/>
    <w:rsid w:val="00C276D2"/>
    <w:rsid w:val="00C6207F"/>
    <w:rsid w:val="00C768F7"/>
    <w:rsid w:val="00C775CD"/>
    <w:rsid w:val="00C876CB"/>
    <w:rsid w:val="00CB50F6"/>
    <w:rsid w:val="00CC05C1"/>
    <w:rsid w:val="00CF5A69"/>
    <w:rsid w:val="00CF7FD4"/>
    <w:rsid w:val="00D01619"/>
    <w:rsid w:val="00D05A02"/>
    <w:rsid w:val="00D06A02"/>
    <w:rsid w:val="00D456CF"/>
    <w:rsid w:val="00D575F9"/>
    <w:rsid w:val="00D626B4"/>
    <w:rsid w:val="00D864EE"/>
    <w:rsid w:val="00DB1AFA"/>
    <w:rsid w:val="00DD371E"/>
    <w:rsid w:val="00DF36C9"/>
    <w:rsid w:val="00E03BF5"/>
    <w:rsid w:val="00E04E04"/>
    <w:rsid w:val="00E228BD"/>
    <w:rsid w:val="00E23E50"/>
    <w:rsid w:val="00E25085"/>
    <w:rsid w:val="00E420E5"/>
    <w:rsid w:val="00E44A48"/>
    <w:rsid w:val="00E60908"/>
    <w:rsid w:val="00E72CE9"/>
    <w:rsid w:val="00E7469C"/>
    <w:rsid w:val="00E8546F"/>
    <w:rsid w:val="00E869C3"/>
    <w:rsid w:val="00EE5BF6"/>
    <w:rsid w:val="00EE7E93"/>
    <w:rsid w:val="00F16BDC"/>
    <w:rsid w:val="00F56281"/>
    <w:rsid w:val="00F6203A"/>
    <w:rsid w:val="00F835D9"/>
    <w:rsid w:val="00FA69DD"/>
    <w:rsid w:val="00FC0FDB"/>
    <w:rsid w:val="00FF1421"/>
    <w:rsid w:val="00FF5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3A"/>
    <w:rPr>
      <w:sz w:val="20"/>
      <w:szCs w:val="20"/>
    </w:rPr>
  </w:style>
  <w:style w:type="paragraph" w:styleId="Heading1">
    <w:name w:val="heading 1"/>
    <w:basedOn w:val="Normal"/>
    <w:next w:val="Normal"/>
    <w:link w:val="Heading1Char"/>
    <w:uiPriority w:val="99"/>
    <w:qFormat/>
    <w:rsid w:val="00F6203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6203A"/>
    <w:pPr>
      <w:keepNext/>
      <w:jc w:val="right"/>
      <w:outlineLvl w:val="1"/>
    </w:pPr>
    <w:rPr>
      <w:noProof/>
      <w:sz w:val="28"/>
    </w:rPr>
  </w:style>
  <w:style w:type="paragraph" w:styleId="Heading3">
    <w:name w:val="heading 3"/>
    <w:basedOn w:val="Normal"/>
    <w:next w:val="Normal"/>
    <w:link w:val="Heading3Char"/>
    <w:uiPriority w:val="99"/>
    <w:qFormat/>
    <w:rsid w:val="00E04E04"/>
    <w:pPr>
      <w:keepNext/>
      <w:keepLines/>
      <w:spacing w:before="200"/>
      <w:outlineLvl w:val="2"/>
    </w:pPr>
    <w:rPr>
      <w:rFonts w:ascii="Calibri Light" w:hAnsi="Calibri Light"/>
      <w:b/>
      <w:bCs/>
      <w:color w:val="5B9BD5"/>
      <w:lang w:eastAsia="zh-CN"/>
    </w:rPr>
  </w:style>
  <w:style w:type="paragraph" w:styleId="Heading7">
    <w:name w:val="heading 7"/>
    <w:basedOn w:val="Normal"/>
    <w:next w:val="Normal"/>
    <w:link w:val="Heading7Char"/>
    <w:uiPriority w:val="99"/>
    <w:qFormat/>
    <w:rsid w:val="00F6203A"/>
    <w:pPr>
      <w:keepNext/>
      <w:jc w:val="center"/>
      <w:outlineLvl w:val="6"/>
    </w:pPr>
    <w:rPr>
      <w:noProof/>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07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307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rsid w:val="00E04E04"/>
    <w:rPr>
      <w:rFonts w:ascii="Calibri Light" w:hAnsi="Calibri Light"/>
      <w:b/>
      <w:color w:val="5B9BD5"/>
    </w:rPr>
  </w:style>
  <w:style w:type="character" w:customStyle="1" w:styleId="Heading7Char">
    <w:name w:val="Heading 7 Char"/>
    <w:basedOn w:val="DefaultParagraphFont"/>
    <w:link w:val="Heading7"/>
    <w:uiPriority w:val="9"/>
    <w:semiHidden/>
    <w:rsid w:val="00A8307B"/>
    <w:rPr>
      <w:rFonts w:asciiTheme="minorHAnsi" w:eastAsiaTheme="minorEastAsia" w:hAnsiTheme="minorHAnsi" w:cstheme="minorBidi"/>
      <w:sz w:val="24"/>
      <w:szCs w:val="24"/>
    </w:rPr>
  </w:style>
  <w:style w:type="paragraph" w:styleId="BodyText">
    <w:name w:val="Body Text"/>
    <w:basedOn w:val="Normal"/>
    <w:link w:val="BodyTextChar"/>
    <w:uiPriority w:val="99"/>
    <w:semiHidden/>
    <w:rsid w:val="00F6203A"/>
    <w:pPr>
      <w:jc w:val="center"/>
    </w:pPr>
    <w:rPr>
      <w:b/>
      <w:noProof/>
      <w:sz w:val="36"/>
    </w:rPr>
  </w:style>
  <w:style w:type="character" w:customStyle="1" w:styleId="BodyTextChar">
    <w:name w:val="Body Text Char"/>
    <w:basedOn w:val="DefaultParagraphFont"/>
    <w:link w:val="BodyText"/>
    <w:uiPriority w:val="99"/>
    <w:semiHidden/>
    <w:rsid w:val="00A8307B"/>
    <w:rPr>
      <w:sz w:val="20"/>
      <w:szCs w:val="20"/>
    </w:rPr>
  </w:style>
  <w:style w:type="paragraph" w:styleId="BodyTextIndent">
    <w:name w:val="Body Text Indent"/>
    <w:basedOn w:val="Normal"/>
    <w:link w:val="BodyTextIndentChar"/>
    <w:uiPriority w:val="99"/>
    <w:rsid w:val="00F6203A"/>
    <w:pPr>
      <w:spacing w:after="120"/>
      <w:ind w:left="283"/>
    </w:pPr>
  </w:style>
  <w:style w:type="character" w:customStyle="1" w:styleId="BodyTextIndentChar">
    <w:name w:val="Body Text Indent Char"/>
    <w:basedOn w:val="DefaultParagraphFont"/>
    <w:link w:val="BodyTextIndent"/>
    <w:uiPriority w:val="99"/>
    <w:semiHidden/>
    <w:rsid w:val="00A8307B"/>
    <w:rPr>
      <w:sz w:val="20"/>
      <w:szCs w:val="20"/>
    </w:rPr>
  </w:style>
  <w:style w:type="paragraph" w:styleId="NormalWeb">
    <w:name w:val="Normal (Web)"/>
    <w:basedOn w:val="Normal"/>
    <w:uiPriority w:val="99"/>
    <w:rsid w:val="00C14659"/>
    <w:pPr>
      <w:spacing w:before="100" w:beforeAutospacing="1" w:after="100" w:afterAutospacing="1"/>
    </w:pPr>
    <w:rPr>
      <w:sz w:val="24"/>
      <w:szCs w:val="24"/>
    </w:rPr>
  </w:style>
  <w:style w:type="character" w:styleId="Strong">
    <w:name w:val="Strong"/>
    <w:basedOn w:val="DefaultParagraphFont"/>
    <w:uiPriority w:val="99"/>
    <w:qFormat/>
    <w:rsid w:val="00C14659"/>
    <w:rPr>
      <w:rFonts w:cs="Times New Roman"/>
      <w:b/>
    </w:rPr>
  </w:style>
  <w:style w:type="paragraph" w:customStyle="1" w:styleId="a">
    <w:name w:val="Знак"/>
    <w:basedOn w:val="Normal"/>
    <w:uiPriority w:val="99"/>
    <w:rsid w:val="00A9039F"/>
    <w:pPr>
      <w:widowControl w:val="0"/>
      <w:adjustRightInd w:val="0"/>
      <w:spacing w:after="160" w:line="240" w:lineRule="exact"/>
      <w:jc w:val="right"/>
    </w:pPr>
    <w:rPr>
      <w:lang w:val="en-GB" w:eastAsia="en-US"/>
    </w:rPr>
  </w:style>
  <w:style w:type="character" w:styleId="Hyperlink">
    <w:name w:val="Hyperlink"/>
    <w:basedOn w:val="DefaultParagraphFont"/>
    <w:uiPriority w:val="99"/>
    <w:rsid w:val="00A9039F"/>
    <w:rPr>
      <w:rFonts w:cs="Times New Roman"/>
      <w:color w:val="0000FF"/>
      <w:u w:val="single"/>
    </w:rPr>
  </w:style>
  <w:style w:type="paragraph" w:styleId="BalloonText">
    <w:name w:val="Balloon Text"/>
    <w:basedOn w:val="Normal"/>
    <w:link w:val="BalloonTextChar"/>
    <w:uiPriority w:val="99"/>
    <w:semiHidden/>
    <w:rsid w:val="00425FB7"/>
    <w:rPr>
      <w:rFonts w:ascii="Tahoma" w:hAnsi="Tahoma" w:cs="Tahoma"/>
      <w:sz w:val="16"/>
      <w:szCs w:val="16"/>
    </w:rPr>
  </w:style>
  <w:style w:type="character" w:customStyle="1" w:styleId="BalloonTextChar">
    <w:name w:val="Balloon Text Char"/>
    <w:basedOn w:val="DefaultParagraphFont"/>
    <w:link w:val="BalloonText"/>
    <w:uiPriority w:val="99"/>
    <w:semiHidden/>
    <w:rsid w:val="00C019AD"/>
    <w:rPr>
      <w:rFonts w:ascii="Tahoma" w:hAnsi="Tahoma"/>
      <w:sz w:val="16"/>
      <w:lang w:val="ru-RU" w:eastAsia="ru-RU"/>
    </w:rPr>
  </w:style>
  <w:style w:type="paragraph" w:customStyle="1" w:styleId="FR2">
    <w:name w:val="FR2"/>
    <w:uiPriority w:val="99"/>
    <w:rsid w:val="00132AD9"/>
    <w:pPr>
      <w:widowControl w:val="0"/>
    </w:pPr>
    <w:rPr>
      <w:rFonts w:ascii="Arial" w:hAnsi="Arial" w:cs="Arial"/>
      <w:b/>
      <w:bCs/>
      <w:sz w:val="28"/>
      <w:szCs w:val="28"/>
    </w:rPr>
  </w:style>
  <w:style w:type="paragraph" w:styleId="BodyText2">
    <w:name w:val="Body Text 2"/>
    <w:basedOn w:val="Normal"/>
    <w:link w:val="BodyText2Char"/>
    <w:uiPriority w:val="99"/>
    <w:rsid w:val="009D3033"/>
    <w:pPr>
      <w:ind w:right="6111"/>
    </w:pPr>
    <w:rPr>
      <w:sz w:val="28"/>
      <w:szCs w:val="24"/>
      <w:lang w:eastAsia="zh-CN"/>
    </w:rPr>
  </w:style>
  <w:style w:type="character" w:customStyle="1" w:styleId="BodyText2Char">
    <w:name w:val="Body Text 2 Char"/>
    <w:basedOn w:val="DefaultParagraphFont"/>
    <w:link w:val="BodyText2"/>
    <w:uiPriority w:val="99"/>
    <w:rsid w:val="009D3033"/>
    <w:rPr>
      <w:sz w:val="24"/>
    </w:rPr>
  </w:style>
  <w:style w:type="paragraph" w:customStyle="1" w:styleId="ConsNormal">
    <w:name w:val="ConsNormal"/>
    <w:uiPriority w:val="99"/>
    <w:rsid w:val="009F1CB3"/>
    <w:pPr>
      <w:widowControl w:val="0"/>
      <w:autoSpaceDE w:val="0"/>
      <w:autoSpaceDN w:val="0"/>
      <w:adjustRightInd w:val="0"/>
      <w:ind w:right="19772" w:firstLine="720"/>
    </w:pPr>
    <w:rPr>
      <w:rFonts w:ascii="Arial" w:hAnsi="Arial" w:cs="Arial"/>
      <w:sz w:val="28"/>
      <w:szCs w:val="20"/>
    </w:rPr>
  </w:style>
  <w:style w:type="table" w:styleId="TableGrid">
    <w:name w:val="Table Grid"/>
    <w:basedOn w:val="TableNormal"/>
    <w:uiPriority w:val="99"/>
    <w:rsid w:val="009F1C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60908"/>
    <w:pPr>
      <w:suppressAutoHyphens/>
      <w:autoSpaceDE w:val="0"/>
    </w:pPr>
    <w:rPr>
      <w:sz w:val="28"/>
      <w:szCs w:val="28"/>
      <w:lang w:eastAsia="zh-CN"/>
    </w:rPr>
  </w:style>
</w:styles>
</file>

<file path=word/webSettings.xml><?xml version="1.0" encoding="utf-8"?>
<w:webSettings xmlns:r="http://schemas.openxmlformats.org/officeDocument/2006/relationships" xmlns:w="http://schemas.openxmlformats.org/wordprocessingml/2006/main">
  <w:divs>
    <w:div w:id="226650050">
      <w:marLeft w:val="0"/>
      <w:marRight w:val="0"/>
      <w:marTop w:val="0"/>
      <w:marBottom w:val="0"/>
      <w:divBdr>
        <w:top w:val="none" w:sz="0" w:space="0" w:color="auto"/>
        <w:left w:val="none" w:sz="0" w:space="0" w:color="auto"/>
        <w:bottom w:val="none" w:sz="0" w:space="0" w:color="auto"/>
        <w:right w:val="none" w:sz="0" w:space="0" w:color="auto"/>
      </w:divBdr>
    </w:div>
    <w:div w:id="226650053">
      <w:marLeft w:val="0"/>
      <w:marRight w:val="0"/>
      <w:marTop w:val="0"/>
      <w:marBottom w:val="0"/>
      <w:divBdr>
        <w:top w:val="none" w:sz="0" w:space="0" w:color="auto"/>
        <w:left w:val="none" w:sz="0" w:space="0" w:color="auto"/>
        <w:bottom w:val="none" w:sz="0" w:space="0" w:color="auto"/>
        <w:right w:val="none" w:sz="0" w:space="0" w:color="auto"/>
      </w:divBdr>
      <w:divsChild>
        <w:div w:id="226650049">
          <w:marLeft w:val="0"/>
          <w:marRight w:val="0"/>
          <w:marTop w:val="0"/>
          <w:marBottom w:val="0"/>
          <w:divBdr>
            <w:top w:val="none" w:sz="0" w:space="0" w:color="auto"/>
            <w:left w:val="none" w:sz="0" w:space="0" w:color="auto"/>
            <w:bottom w:val="none" w:sz="0" w:space="0" w:color="auto"/>
            <w:right w:val="none" w:sz="0" w:space="0" w:color="auto"/>
          </w:divBdr>
          <w:divsChild>
            <w:div w:id="226650064">
              <w:marLeft w:val="0"/>
              <w:marRight w:val="0"/>
              <w:marTop w:val="0"/>
              <w:marBottom w:val="0"/>
              <w:divBdr>
                <w:top w:val="none" w:sz="0" w:space="0" w:color="auto"/>
                <w:left w:val="none" w:sz="0" w:space="0" w:color="auto"/>
                <w:bottom w:val="none" w:sz="0" w:space="0" w:color="auto"/>
                <w:right w:val="none" w:sz="0" w:space="0" w:color="auto"/>
              </w:divBdr>
              <w:divsChild>
                <w:div w:id="226650055">
                  <w:marLeft w:val="0"/>
                  <w:marRight w:val="0"/>
                  <w:marTop w:val="0"/>
                  <w:marBottom w:val="0"/>
                  <w:divBdr>
                    <w:top w:val="none" w:sz="0" w:space="0" w:color="auto"/>
                    <w:left w:val="none" w:sz="0" w:space="0" w:color="auto"/>
                    <w:bottom w:val="none" w:sz="0" w:space="0" w:color="auto"/>
                    <w:right w:val="none" w:sz="0" w:space="0" w:color="auto"/>
                  </w:divBdr>
                  <w:divsChild>
                    <w:div w:id="226650052">
                      <w:marLeft w:val="0"/>
                      <w:marRight w:val="0"/>
                      <w:marTop w:val="0"/>
                      <w:marBottom w:val="0"/>
                      <w:divBdr>
                        <w:top w:val="none" w:sz="0" w:space="0" w:color="auto"/>
                        <w:left w:val="none" w:sz="0" w:space="0" w:color="auto"/>
                        <w:bottom w:val="none" w:sz="0" w:space="0" w:color="auto"/>
                        <w:right w:val="none" w:sz="0" w:space="0" w:color="auto"/>
                      </w:divBdr>
                      <w:divsChild>
                        <w:div w:id="226650057">
                          <w:marLeft w:val="0"/>
                          <w:marRight w:val="0"/>
                          <w:marTop w:val="0"/>
                          <w:marBottom w:val="0"/>
                          <w:divBdr>
                            <w:top w:val="none" w:sz="0" w:space="0" w:color="auto"/>
                            <w:left w:val="none" w:sz="0" w:space="0" w:color="auto"/>
                            <w:bottom w:val="none" w:sz="0" w:space="0" w:color="auto"/>
                            <w:right w:val="none" w:sz="0" w:space="0" w:color="auto"/>
                          </w:divBdr>
                          <w:divsChild>
                            <w:div w:id="226650051">
                              <w:marLeft w:val="0"/>
                              <w:marRight w:val="0"/>
                              <w:marTop w:val="0"/>
                              <w:marBottom w:val="0"/>
                              <w:divBdr>
                                <w:top w:val="none" w:sz="0" w:space="0" w:color="auto"/>
                                <w:left w:val="none" w:sz="0" w:space="0" w:color="auto"/>
                                <w:bottom w:val="none" w:sz="0" w:space="0" w:color="auto"/>
                                <w:right w:val="none" w:sz="0" w:space="0" w:color="auto"/>
                              </w:divBdr>
                              <w:divsChild>
                                <w:div w:id="226650065">
                                  <w:marLeft w:val="0"/>
                                  <w:marRight w:val="0"/>
                                  <w:marTop w:val="0"/>
                                  <w:marBottom w:val="0"/>
                                  <w:divBdr>
                                    <w:top w:val="none" w:sz="0" w:space="0" w:color="auto"/>
                                    <w:left w:val="none" w:sz="0" w:space="0" w:color="auto"/>
                                    <w:bottom w:val="none" w:sz="0" w:space="0" w:color="auto"/>
                                    <w:right w:val="none" w:sz="0" w:space="0" w:color="auto"/>
                                  </w:divBdr>
                                  <w:divsChild>
                                    <w:div w:id="226650046">
                                      <w:marLeft w:val="0"/>
                                      <w:marRight w:val="0"/>
                                      <w:marTop w:val="0"/>
                                      <w:marBottom w:val="0"/>
                                      <w:divBdr>
                                        <w:top w:val="none" w:sz="0" w:space="0" w:color="auto"/>
                                        <w:left w:val="none" w:sz="0" w:space="0" w:color="auto"/>
                                        <w:bottom w:val="none" w:sz="0" w:space="0" w:color="auto"/>
                                        <w:right w:val="none" w:sz="0" w:space="0" w:color="auto"/>
                                      </w:divBdr>
                                      <w:divsChild>
                                        <w:div w:id="226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50054">
      <w:marLeft w:val="0"/>
      <w:marRight w:val="0"/>
      <w:marTop w:val="0"/>
      <w:marBottom w:val="0"/>
      <w:divBdr>
        <w:top w:val="none" w:sz="0" w:space="0" w:color="auto"/>
        <w:left w:val="none" w:sz="0" w:space="0" w:color="auto"/>
        <w:bottom w:val="none" w:sz="0" w:space="0" w:color="auto"/>
        <w:right w:val="none" w:sz="0" w:space="0" w:color="auto"/>
      </w:divBdr>
      <w:divsChild>
        <w:div w:id="226650056">
          <w:marLeft w:val="0"/>
          <w:marRight w:val="0"/>
          <w:marTop w:val="0"/>
          <w:marBottom w:val="0"/>
          <w:divBdr>
            <w:top w:val="none" w:sz="0" w:space="0" w:color="auto"/>
            <w:left w:val="none" w:sz="0" w:space="0" w:color="auto"/>
            <w:bottom w:val="none" w:sz="0" w:space="0" w:color="auto"/>
            <w:right w:val="none" w:sz="0" w:space="0" w:color="auto"/>
          </w:divBdr>
          <w:divsChild>
            <w:div w:id="226650048">
              <w:marLeft w:val="0"/>
              <w:marRight w:val="0"/>
              <w:marTop w:val="0"/>
              <w:marBottom w:val="0"/>
              <w:divBdr>
                <w:top w:val="none" w:sz="0" w:space="0" w:color="auto"/>
                <w:left w:val="none" w:sz="0" w:space="0" w:color="auto"/>
                <w:bottom w:val="none" w:sz="0" w:space="0" w:color="auto"/>
                <w:right w:val="none" w:sz="0" w:space="0" w:color="auto"/>
              </w:divBdr>
              <w:divsChild>
                <w:div w:id="226650045">
                  <w:marLeft w:val="0"/>
                  <w:marRight w:val="0"/>
                  <w:marTop w:val="0"/>
                  <w:marBottom w:val="0"/>
                  <w:divBdr>
                    <w:top w:val="none" w:sz="0" w:space="0" w:color="auto"/>
                    <w:left w:val="none" w:sz="0" w:space="0" w:color="auto"/>
                    <w:bottom w:val="none" w:sz="0" w:space="0" w:color="auto"/>
                    <w:right w:val="none" w:sz="0" w:space="0" w:color="auto"/>
                  </w:divBdr>
                  <w:divsChild>
                    <w:div w:id="226650059">
                      <w:marLeft w:val="0"/>
                      <w:marRight w:val="0"/>
                      <w:marTop w:val="0"/>
                      <w:marBottom w:val="0"/>
                      <w:divBdr>
                        <w:top w:val="none" w:sz="0" w:space="0" w:color="auto"/>
                        <w:left w:val="none" w:sz="0" w:space="0" w:color="auto"/>
                        <w:bottom w:val="none" w:sz="0" w:space="0" w:color="auto"/>
                        <w:right w:val="none" w:sz="0" w:space="0" w:color="auto"/>
                      </w:divBdr>
                      <w:divsChild>
                        <w:div w:id="226650047">
                          <w:marLeft w:val="0"/>
                          <w:marRight w:val="0"/>
                          <w:marTop w:val="0"/>
                          <w:marBottom w:val="0"/>
                          <w:divBdr>
                            <w:top w:val="none" w:sz="0" w:space="0" w:color="auto"/>
                            <w:left w:val="none" w:sz="0" w:space="0" w:color="auto"/>
                            <w:bottom w:val="none" w:sz="0" w:space="0" w:color="auto"/>
                            <w:right w:val="none" w:sz="0" w:space="0" w:color="auto"/>
                          </w:divBdr>
                          <w:divsChild>
                            <w:div w:id="226650062">
                              <w:marLeft w:val="0"/>
                              <w:marRight w:val="0"/>
                              <w:marTop w:val="0"/>
                              <w:marBottom w:val="0"/>
                              <w:divBdr>
                                <w:top w:val="none" w:sz="0" w:space="0" w:color="auto"/>
                                <w:left w:val="none" w:sz="0" w:space="0" w:color="auto"/>
                                <w:bottom w:val="none" w:sz="0" w:space="0" w:color="auto"/>
                                <w:right w:val="none" w:sz="0" w:space="0" w:color="auto"/>
                              </w:divBdr>
                              <w:divsChild>
                                <w:div w:id="2266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650058">
      <w:marLeft w:val="0"/>
      <w:marRight w:val="0"/>
      <w:marTop w:val="0"/>
      <w:marBottom w:val="0"/>
      <w:divBdr>
        <w:top w:val="none" w:sz="0" w:space="0" w:color="auto"/>
        <w:left w:val="none" w:sz="0" w:space="0" w:color="auto"/>
        <w:bottom w:val="none" w:sz="0" w:space="0" w:color="auto"/>
        <w:right w:val="none" w:sz="0" w:space="0" w:color="auto"/>
      </w:divBdr>
    </w:div>
    <w:div w:id="226650060">
      <w:marLeft w:val="0"/>
      <w:marRight w:val="0"/>
      <w:marTop w:val="0"/>
      <w:marBottom w:val="0"/>
      <w:divBdr>
        <w:top w:val="none" w:sz="0" w:space="0" w:color="auto"/>
        <w:left w:val="none" w:sz="0" w:space="0" w:color="auto"/>
        <w:bottom w:val="none" w:sz="0" w:space="0" w:color="auto"/>
        <w:right w:val="none" w:sz="0" w:space="0" w:color="auto"/>
      </w:divBdr>
    </w:div>
    <w:div w:id="226650061">
      <w:marLeft w:val="0"/>
      <w:marRight w:val="0"/>
      <w:marTop w:val="0"/>
      <w:marBottom w:val="0"/>
      <w:divBdr>
        <w:top w:val="none" w:sz="0" w:space="0" w:color="auto"/>
        <w:left w:val="none" w:sz="0" w:space="0" w:color="auto"/>
        <w:bottom w:val="none" w:sz="0" w:space="0" w:color="auto"/>
        <w:right w:val="none" w:sz="0" w:space="0" w:color="auto"/>
      </w:divBdr>
    </w:div>
    <w:div w:id="226650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570</Words>
  <Characters>3249</Characters>
  <Application>Microsoft Office Outlook</Application>
  <DocSecurity>0</DocSecurity>
  <Lines>0</Lines>
  <Paragraphs>0</Paragraphs>
  <ScaleCrop>false</ScaleCrop>
  <Company>Ростовская область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«Сельская ипотека» </dc:title>
  <dc:subject/>
  <dc:creator>minsvyaz2</dc:creator>
  <cp:keywords/>
  <dc:description/>
  <cp:lastModifiedBy>User</cp:lastModifiedBy>
  <cp:revision>2</cp:revision>
  <cp:lastPrinted>2021-02-26T10:02:00Z</cp:lastPrinted>
  <dcterms:created xsi:type="dcterms:W3CDTF">2021-11-19T06:41:00Z</dcterms:created>
  <dcterms:modified xsi:type="dcterms:W3CDTF">2021-11-19T06:41:00Z</dcterms:modified>
</cp:coreProperties>
</file>