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12" w:hanging="0"/>
        <w:jc w:val="left"/>
        <w:rPr/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РОСТОВСКАЯ ОБЛАСТЬ</w:t>
        <w:tab/>
        <w:tab/>
      </w:r>
      <w:r>
        <w:rPr>
          <w:b/>
          <w:bCs/>
          <w:sz w:val="26"/>
          <w:szCs w:val="26"/>
          <w:u w:val="single"/>
        </w:rPr>
        <w:t>ПРОЕКТ</w:t>
      </w:r>
      <w:r>
        <w:rPr>
          <w:sz w:val="26"/>
          <w:szCs w:val="26"/>
        </w:rPr>
        <w:tab/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НЕКЛИНОВСКИЙ РАЙОН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«ПОЛЯКОВСКОЕ СЕЛЬСКОЕ ПОСЕЛЕНИЕ»</w:t>
      </w:r>
    </w:p>
    <w:p>
      <w:pPr>
        <w:pStyle w:val="Postan"/>
        <w:ind w:left="0" w:right="12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Postan"/>
        <w:ind w:left="0" w:right="12" w:hanging="0"/>
        <w:rPr/>
      </w:pPr>
      <w:r>
        <w:rPr>
          <w:sz w:val="26"/>
          <w:szCs w:val="26"/>
        </w:rPr>
        <w:t>СОБРАНИЕ ДЕПУТАТОВ ПОЛЯКОВСКОГО СЕЛЬСКОГО ПОСЕЛЕНИЯ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" w:right="23" w:firstLine="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РЕШЕНИЕ</w:t>
      </w:r>
    </w:p>
    <w:p>
      <w:pPr>
        <w:pStyle w:val="Normal"/>
        <w:ind w:left="12" w:right="23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х.Красный Десант</w:t>
      </w:r>
    </w:p>
    <w:p>
      <w:pPr>
        <w:pStyle w:val="Normal"/>
        <w:ind w:left="0" w:right="-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ind w:left="0" w:right="-2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kern w:val="2"/>
          <w:sz w:val="28"/>
          <w:szCs w:val="28"/>
          <w:lang w:eastAsia="ar-SA"/>
        </w:rPr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 xml:space="preserve">Об объявлении конкурса на должность главы Администрации </w:t>
      </w:r>
    </w:p>
    <w:p>
      <w:pPr>
        <w:pStyle w:val="Normal"/>
        <w:ind w:right="-2" w:hanging="0"/>
        <w:jc w:val="center"/>
        <w:rPr/>
      </w:pPr>
      <w:r>
        <w:rPr>
          <w:b/>
          <w:sz w:val="28"/>
          <w:szCs w:val="28"/>
        </w:rPr>
        <w:t>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Поляковского сельского поселения от «__» августа 2021года «О порядке проведения конкурса на должность главы Администрации Поляковского сельского поселения» Собрание депутатов Поляковского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Поляковского сельского поселения (далее – конкурс).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Поляковскогосельского поселения,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1045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  <w:gridCol w:w="2551"/>
        <w:gridCol w:w="2552"/>
      </w:tblGrid>
      <w:tr>
        <w:trPr/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Поляковского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В.С.Максименко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«___» ______ 2021 года № _____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Поляковскогосельского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Конкурс на замещение должности главы Администрации Поляковского сельского поселения проводится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27 сентября 2021 года, в 11:00,  в здании Администрации Поляковского сельского поселения (ул.Октябрьская, д.10, х.Красный Десант, Неклиновского района).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Поляковского сельского поселения в конкурсную комиссию, осуществляется в кабинете № 2 </w:t>
      </w:r>
      <w:r>
        <w:rPr>
          <w:rFonts w:eastAsia="Times New Roman" w:cs="Times New Roman"/>
          <w:kern w:val="2"/>
          <w:sz w:val="28"/>
          <w:szCs w:val="28"/>
          <w:lang w:eastAsia="ar-SA"/>
        </w:rPr>
        <w:t>Администрации Поляковского сельского поселения (ул.Октябрьская, д.10, х.Красный Десант, Неклиновский район, Ростовская область), с 9:00 до 16:00 (перерыв с 12:00 до 12:45), с «01» сентября по «13» сентября 2021 года включительно (выходные дни – суббота, воскресенье),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kern w:val="2"/>
          <w:sz w:val="28"/>
          <w:szCs w:val="28"/>
          <w:lang w:eastAsia="ar-SA"/>
        </w:rPr>
        <w:t>телефон для справок: 3-41-52, 3-40-35.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Поляковского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</w:rPr>
        <w:t>3.2. Кандидат на замещение должности главы Администрации Поляковского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Поляковского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Поляковского сельского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Поляковского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Поляковского сельского поселения, назначенном в соответствии с решением Собрания депутатов Поляковского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Поляковского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Поляковского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Поляковского 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Поляковскогосельского поселения следующие документы:</w:t>
      </w:r>
    </w:p>
    <w:tbl>
      <w:tblPr>
        <w:tblW w:w="10185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8169"/>
        <w:gridCol w:w="1392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Поляковского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1" w:name="Par172"/>
      <w:bookmarkStart w:id="2" w:name="Par172"/>
      <w:bookmarkEnd w:id="2"/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Normal"/>
        <w:widowControl w:val="false"/>
        <w:tabs>
          <w:tab w:val="left" w:pos="851" w:leader="none"/>
        </w:tabs>
        <w:ind w:right="567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Поляковского 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062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18"/>
        <w:gridCol w:w="2076"/>
        <w:gridCol w:w="3968"/>
      </w:tblGrid>
      <w:tr>
        <w:trPr/>
        <w:tc>
          <w:tcPr>
            <w:tcW w:w="401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6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/>
        <w:tc>
          <w:tcPr>
            <w:tcW w:w="4018" w:type="dxa"/>
            <w:tcBorders/>
            <w:shd w:fill="auto" w:val="clear"/>
          </w:tcPr>
          <w:p>
            <w:pPr>
              <w:pStyle w:val="Normal"/>
              <w:suppressAutoHyphens w:val="false"/>
              <w:ind w:right="414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Поляковского сельского поселения _____________________________________________________________________,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«Поляковское  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Normal"/>
        <w:suppressAutoHyphens w:val="false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Поляковского сельского поселения от ______________ № ____ «_______________________________________________»</w:t>
      </w:r>
    </w:p>
    <w:p>
      <w:pPr>
        <w:pStyle w:val="Normal"/>
        <w:suppressAutoHyphens w:val="false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Поляковского сельского поселения, назначаемого по контракту, учрежденной в целях обеспечения исполнения полномочий и деятельности Администрации Поляковского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Normal"/>
        <w:suppressAutoHyphens w:val="false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«Поляковское сельское поселение», нормативными правовыми актами Собрания депутатов Поляковского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Поляковского сельского поселения и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«Поляковское сельское поселение», иные нормативные правовые акты;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Поляковскогосельского поселения и эффективное управление муниципальным имуществом Поляковского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«Поляковское сельское поселение».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«Поляковское сельское поселение».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Normal"/>
        <w:suppressAutoHyphens w:val="false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Normal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«Поляковское сельское поселение» сроком на _____________________________.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pStyle w:val="Normal"/>
        <w:suppressAutoHyphens w:val="false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Normal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Поляковского сельского поселения.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  <w:noBreakHyphen/>
        <w:t xml:space="preserve"> в порядке, предусмотренном законодательством Российской Федерации.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tbl>
      <w:tblPr>
        <w:tblW w:w="10349" w:type="dxa"/>
        <w:jc w:val="left"/>
        <w:tblInd w:w="124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738"/>
        <w:gridCol w:w="790"/>
        <w:gridCol w:w="4821"/>
      </w:tblGrid>
      <w:tr>
        <w:trPr/>
        <w:tc>
          <w:tcPr>
            <w:tcW w:w="4738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Поляковского сельского поселения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4821" w:type="dxa"/>
            <w:tcBorders/>
            <w:shd w:fill="auto" w:val="clear"/>
          </w:tcPr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Поляковского сельского поселения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Normal"/>
              <w:suppressAutoHyphens w:val="false"/>
              <w:ind w:left="157" w:hanging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контракту, заключаемому с главой Администрации Поляковского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Поляковскогосельского поселения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Поляковского сельского поселения, назначаемого по контракту (далее – глава администрации), относится к высшей группе должностей муниципальной службы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  <w:br/>
        <w:t>от должности решением Собрания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Поляковского сельского поселения (далее – администрация) на принципах единоначалия.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«Поляковское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Поляковского сельского поселения ежегодные отчеты о результатах своей деятельности и деятельности администрации, </w:t>
        <w:br/>
        <w:t>в том числе о решении вопросов, поставленных Собранием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/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  <w:br/>
        <w:t xml:space="preserve">не переданных органам местного самоуправления в соответствии со </w:t>
      </w:r>
      <w:hyperlink r:id="rId2">
        <w:r>
          <w:rPr>
            <w:rStyle w:val="ListLabel1"/>
            <w:sz w:val="28"/>
            <w:szCs w:val="28"/>
          </w:rPr>
          <w:t xml:space="preserve">статьей </w:t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Поляковского сельского поселения решения о реализации права на участие в осуществлении указанных полномочий.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kern w:val="0"/>
          <w:sz w:val="28"/>
          <w:szCs w:val="28"/>
          <w:lang w:eastAsia="en-US"/>
        </w:rPr>
      </w:pPr>
      <w:r>
        <w:rPr>
          <w:rFonts w:eastAsia="Calibri" w:eastAsiaTheme="minorHAnsi"/>
          <w:kern w:val="0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pStyle w:val="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  <w:br/>
        <w:t>в Российской Федерации»;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  <w:br/>
        <w:t>в Ростовской области»;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  <w:br/>
        <w:t xml:space="preserve">в Ростовской области;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«Поляковское сельское поселение»;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  <w:br/>
        <w:t xml:space="preserve">в сфере местного самоуправления;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  <w:br/>
        <w:t>в коллективе;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«Поляковское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  <w:br/>
        <w:t>на представление ее интересов.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Поляковского сельского поселения и Собранием депутатов Поляковского сельского поселения в целях осуществления полномочий по решению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Поляковского сельского поселения проекта бюджета Поляковского сельского поселения и отчета о его исполнении, исполнение бюджета Поляковскогосельского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Поляковского сельского поселения проекты нормативных правовых актов Собрания депутатов Поляковского сельского поселения, предусматривающих установление, изменение и отмену местных налогов и сборов, осуществление расходов из средств бюджета Поляковского сельского поселения, и дает заключения на проекты таких нормативных правовых актов.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Поляковского сельского поселения.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«Поляковское сельское поселение».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3" w:name="Par267"/>
      <w:bookmarkEnd w:id="3"/>
      <w:r>
        <w:rPr>
          <w:sz w:val="28"/>
          <w:szCs w:val="28"/>
        </w:rPr>
        <w:t>4. Ответственность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pStyle w:val="Normal"/>
        <w:widowControl w:val="false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Поляковского сельского поселения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4" w:type="dxa"/>
        <w:jc w:val="left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598"/>
        <w:gridCol w:w="3513"/>
        <w:gridCol w:w="1700"/>
        <w:gridCol w:w="1680"/>
        <w:gridCol w:w="1155"/>
        <w:gridCol w:w="1417"/>
      </w:tblGrid>
      <w:tr>
        <w:trPr>
          <w:trHeight w:val="1000" w:hRule="atLeast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 назначении</w:t>
            </w:r>
          </w:p>
          <w:p>
            <w:pPr>
              <w:pStyle w:val="Normal"/>
              <w:jc w:val="center"/>
              <w:rPr/>
            </w:pPr>
            <w:r>
              <w:rPr/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Дата, номер</w:t>
            </w:r>
          </w:p>
          <w:p>
            <w:pPr>
              <w:pStyle w:val="Normal"/>
              <w:jc w:val="center"/>
              <w:rPr/>
            </w:pPr>
            <w:r>
              <w:rPr/>
              <w:t>решения представительного органа</w:t>
            </w:r>
          </w:p>
          <w:p>
            <w:pPr>
              <w:pStyle w:val="Normal"/>
              <w:jc w:val="center"/>
              <w:rPr/>
            </w:pPr>
            <w:r>
              <w:rPr/>
              <w:t>об</w:t>
            </w:r>
          </w:p>
          <w:p>
            <w:pPr>
              <w:pStyle w:val="Normal"/>
              <w:jc w:val="center"/>
              <w:rPr/>
            </w:pPr>
            <w:r>
              <w:rPr/>
              <w:t>освобождении</w:t>
            </w:r>
          </w:p>
          <w:p>
            <w:pPr>
              <w:pStyle w:val="Normal"/>
              <w:jc w:val="center"/>
              <w:rPr/>
            </w:pPr>
            <w:r>
              <w:rPr/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  <w:p>
            <w:pPr>
              <w:pStyle w:val="Normal"/>
              <w:jc w:val="center"/>
              <w:rPr/>
            </w:pPr>
            <w:r>
              <w:rPr/>
              <w:t>ознаком-</w:t>
            </w:r>
          </w:p>
          <w:p>
            <w:pPr>
              <w:pStyle w:val="Normal"/>
              <w:jc w:val="center"/>
              <w:rPr/>
            </w:pPr>
            <w:r>
              <w:rPr/>
              <w:t>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Личная</w:t>
            </w:r>
          </w:p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567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326513"/>
    </w:sdtPr>
    <w:sdtContent>
      <w:p>
        <w:pPr>
          <w:pStyle w:val="Style3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yle3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  <w:rPr/>
      </w:pPr>
      <w:r>
        <w:rPr>
          <w:rStyle w:val="Style21"/>
        </w:rPr>
        <w:footnoteRef/>
      </w:r>
      <w:r>
        <w:rPr>
          <w:rStyle w:val="Style21"/>
        </w:rPr>
        <w:tab/>
      </w:r>
      <w:r>
        <w:rPr>
          <w:rStyle w:val="FootnoteCharacters"/>
        </w:rPr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sz w:val="28"/>
      <w:szCs w:val="28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character" w:styleId="ListLabel2">
    <w:name w:val="ListLabel 2"/>
    <w:qFormat/>
    <w:rPr>
      <w:sz w:val="28"/>
      <w:szCs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Header"/>
    <w:basedOn w:val="Normal"/>
    <w:link w:val="af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f1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7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8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paragraph" w:styleId="Postan">
    <w:name w:val="Postan"/>
    <w:basedOn w:val="Normal"/>
    <w:qFormat/>
    <w:pPr>
      <w:widowControl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LibreOffice/6.0.4.2$Windows_x86 LibreOffice_project/9b0d9b32d5dcda91d2f1a96dc04c645c450872bf</Application>
  <Pages>18</Pages>
  <Words>3879</Words>
  <Characters>30166</Characters>
  <CharactersWithSpaces>33850</CharactersWithSpaces>
  <Paragraphs>358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2021-08-05T14:56:29Z</cp:lastPrinted>
  <dcterms:modified xsi:type="dcterms:W3CDTF">2021-08-05T15:25:02Z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