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об исполнении плана  реализации муниципальной программы Поляковского сельского поселения «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в Поляковском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>за I полугодие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 xml:space="preserve">х. Красный Десант                                                                   </w:t>
      </w:r>
      <w:r>
        <w:rPr>
          <w:rFonts w:cs="Times New Roman" w:ascii="Times New Roman" w:hAnsi="Times New Roman"/>
          <w:b/>
          <w:sz w:val="27"/>
          <w:szCs w:val="27"/>
        </w:rPr>
        <w:t>7 июля 2021 года</w:t>
      </w:r>
    </w:p>
    <w:p>
      <w:pPr>
        <w:pStyle w:val="Normal"/>
        <w:spacing w:lineRule="auto" w:line="240" w:before="0"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Поляковском сельское поселение».</w:t>
      </w: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Поляковском сельское поселение</w:t>
      </w:r>
      <w:r>
        <w:rPr>
          <w:rFonts w:ascii="Times New Roman" w:hAnsi="Times New Roman"/>
          <w:sz w:val="28"/>
          <w:szCs w:val="28"/>
        </w:rPr>
        <w:t>» утверждена постановлением Администрации Поляковского сельского поселения от 12.10.2018г. № 104, ответственным исполнителем и участниками программы 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>
      <w:pPr>
        <w:pStyle w:val="Normal"/>
        <w:jc w:val="both"/>
        <w:rPr/>
      </w:pPr>
      <w:r>
        <w:rPr>
          <w:rStyle w:val="Fontstyle01"/>
        </w:rPr>
        <w:t>- активизирована антитеррористическая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>
      <w:pPr>
        <w:pStyle w:val="Normal"/>
        <w:jc w:val="both"/>
        <w:rPr/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активизирована работа по снижению нарушений на территории Поляковского сельского поселения;</w:t>
      </w:r>
    </w:p>
    <w:p>
      <w:pPr>
        <w:pStyle w:val="Normal"/>
        <w:jc w:val="both"/>
        <w:rPr/>
      </w:pPr>
      <w:r>
        <w:rPr>
          <w:rStyle w:val="Fontstyle01"/>
        </w:rPr>
        <w:t>- повысился уровень безопасности проживания граждан на территории Поляковского сельского поселения.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программой на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 составляет </w:t>
      </w:r>
      <w:r>
        <w:rPr>
          <w:rFonts w:ascii="Times New Roman" w:hAnsi="Times New Roman"/>
          <w:sz w:val="28"/>
          <w:szCs w:val="28"/>
        </w:rPr>
        <w:t xml:space="preserve">28,8 </w:t>
      </w:r>
      <w:r>
        <w:rPr>
          <w:rFonts w:ascii="Times New Roman" w:hAnsi="Times New Roman"/>
          <w:sz w:val="28"/>
          <w:szCs w:val="28"/>
        </w:rPr>
        <w:t>тыс. 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Фактическое освоение средств бюджета поселения по итогам 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32,9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В состав данной муниципальной программы включены четыре подпрограмма: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 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1. </w:t>
      </w:r>
      <w:r>
        <w:rPr>
          <w:rFonts w:ascii="Times New Roman" w:hAnsi="Times New Roman"/>
          <w:sz w:val="28"/>
          <w:szCs w:val="28"/>
        </w:rPr>
        <w:t>Обеспечение общественного порядка.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2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. 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 в Поляковском сельском поселении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3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. </w:t>
      </w:r>
      <w:r>
        <w:rPr>
          <w:rFonts w:ascii="Times New Roman" w:hAnsi="Times New Roman"/>
          <w:sz w:val="28"/>
          <w:szCs w:val="28"/>
        </w:rPr>
        <w:t>Противодействие коррупции в Поляковском сельском поселении.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spacing w:val="-1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spacing w:val="-1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spacing w:val="-1"/>
          <w:kern w:val="2"/>
          <w:sz w:val="27"/>
          <w:szCs w:val="27"/>
        </w:rPr>
        <w:t>4</w:t>
      </w:r>
      <w:r>
        <w:rPr>
          <w:rFonts w:cs="Times New Roman" w:ascii="Times New Roman" w:hAnsi="Times New Roman"/>
          <w:spacing w:val="-1"/>
          <w:kern w:val="2"/>
          <w:sz w:val="27"/>
          <w:szCs w:val="27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 xml:space="preserve">Комплексные меры </w:t>
      </w:r>
      <w:r>
        <w:rPr>
          <w:rFonts w:ascii="Times New Roman" w:hAnsi="Times New Roman"/>
          <w:sz w:val="28"/>
          <w:szCs w:val="28"/>
        </w:rPr>
        <w:t>противодействия злоупотреблению наркотиками и их незаконному обороту.</w:t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Подпрограмма «Обеспечение общественного порядка»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рамках подпрограммы 1 «Обеспечение общественного порядка»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реализацию основного мероприятия подпрограммы 1 «Обеспечение общественного порядка»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-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Ведение пропаганды среди населения, об  обеспечении охраны общественного порядка- расходы бюджета поселения не предусмотрены. Основное мероприятие подпрограммы 1 реализуются в течение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2 «Профилактика экстремизма и терроризма в Поляковском сельском поселении»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2 выполнены следующие мероприятия: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мероприятия по техническому обслуживанию автоматической охранной сигнализации здания  администрации Поляковского сельского поселения были израсходованы средства в сумме </w:t>
      </w:r>
      <w:r>
        <w:rPr>
          <w:rFonts w:ascii="Times New Roman" w:hAnsi="Times New Roman"/>
          <w:sz w:val="28"/>
          <w:szCs w:val="28"/>
        </w:rPr>
        <w:t xml:space="preserve">9,5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3 «Противодействие коррупции в Поляковском сельском поселении»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pacing w:val="-1"/>
          <w:sz w:val="28"/>
          <w:szCs w:val="28"/>
        </w:rPr>
        <w:t xml:space="preserve"> 4 «Комплексные меры </w:t>
      </w:r>
      <w:r>
        <w:rPr>
          <w:rFonts w:ascii="Times New Roman" w:hAnsi="Times New Roman"/>
          <w:sz w:val="28"/>
          <w:szCs w:val="28"/>
        </w:rPr>
        <w:t>противодействия злоупотреблению наркотиками и их незаконному обороту»</w:t>
      </w:r>
    </w:p>
    <w:p>
      <w:pPr>
        <w:pStyle w:val="ListParagraph"/>
        <w:spacing w:lineRule="auto" w:line="240" w:before="0" w:after="0"/>
        <w:ind w:left="1428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 выполнены следующие мероприятия: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Участие в реализации районных мероприятий;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Участие в реализации общероссийской антинаркотической акции – «Сообщи где торгуют смертью»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Участие в реализации оперативно-профилактическая операция «Мак»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sz w:val="22"/>
          <w:szCs w:val="22"/>
        </w:rPr>
      </w:pPr>
      <w:bookmarkStart w:id="0" w:name="Par1326"/>
      <w:bookmarkEnd w:id="0"/>
      <w:r>
        <w:rPr>
          <w:rFonts w:cs="Times New Roman" w:ascii="Times New Roman" w:hAnsi="Times New Roman"/>
          <w:sz w:val="22"/>
          <w:szCs w:val="22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об исполнении плана реализации муниципальной программы Поляковского сельского поселения «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Обеспечение общественного порядка и противодействие терроризму, экстремизму,</w:t>
      </w:r>
      <w:r>
        <w:rPr>
          <w:rStyle w:val="Strong"/>
          <w:rFonts w:ascii="Times New Roman" w:hAnsi="Times New Roman"/>
          <w:b w:val="false"/>
          <w:color w:val="000000"/>
          <w:sz w:val="22"/>
          <w:szCs w:val="22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коррупции</w:t>
      </w:r>
      <w:r>
        <w:rPr>
          <w:rStyle w:val="Strong"/>
          <w:rFonts w:ascii="Times New Roman" w:hAnsi="Times New Roman"/>
          <w:b w:val="false"/>
          <w:color w:val="000000"/>
          <w:sz w:val="22"/>
          <w:szCs w:val="22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в Поляковском сельское поселение</w:t>
      </w:r>
      <w:r>
        <w:rPr>
          <w:rFonts w:cs="Times New Roman" w:ascii="Times New Roman" w:hAnsi="Times New Roman"/>
          <w:sz w:val="22"/>
          <w:szCs w:val="22"/>
        </w:rPr>
        <w:t xml:space="preserve">»  за </w:t>
      </w:r>
      <w:r>
        <w:rPr>
          <w:rFonts w:cs="Times New Roman" w:ascii="Times New Roman" w:hAnsi="Times New Roman"/>
          <w:sz w:val="22"/>
          <w:szCs w:val="22"/>
        </w:rPr>
        <w:t>6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месяцев </w:t>
      </w:r>
      <w:r>
        <w:rPr>
          <w:rFonts w:cs="Times New Roman" w:ascii="Times New Roman" w:hAnsi="Times New Roman"/>
          <w:sz w:val="22"/>
          <w:szCs w:val="22"/>
        </w:rPr>
        <w:t xml:space="preserve"> 202</w:t>
      </w:r>
      <w:r>
        <w:rPr>
          <w:rFonts w:cs="Times New Roman" w:ascii="Times New Roman" w:hAnsi="Times New Roman"/>
          <w:sz w:val="22"/>
          <w:szCs w:val="22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 г.</w:t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blHeader w:val="true"/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both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both"/>
              <w:rPr/>
            </w:pPr>
            <w:r>
              <w:rPr>
                <w:sz w:val="20"/>
                <w:szCs w:val="20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both"/>
              <w:rPr/>
            </w:pPr>
            <w:hyperlink w:anchor="Par1127">
              <w:r>
                <w:rPr>
                  <w:rStyle w:val="ListLabel2"/>
                  <w:sz w:val="20"/>
                  <w:szCs w:val="20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both"/>
              <w:rPr/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137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trike w:val="false"/>
                <w:dstrike w:val="false"/>
                <w:sz w:val="21"/>
                <w:szCs w:val="21"/>
              </w:rPr>
            </w:pPr>
            <w:r>
              <w:rPr>
                <w:strike w:val="false"/>
                <w:dstrike w:val="false"/>
                <w:sz w:val="21"/>
                <w:szCs w:val="21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Обеспечение общественного порядка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trike/>
                <w:sz w:val="21"/>
                <w:szCs w:val="21"/>
              </w:rPr>
            </w:pPr>
            <w:r>
              <w:rPr>
                <w:strike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Основное мероприятие 1.1. </w:t>
            </w:r>
            <w:r>
              <w:rPr>
                <w:sz w:val="21"/>
                <w:szCs w:val="21"/>
              </w:rPr>
              <w:t>Ведение пропаганды среди населения, об  обеспечении охраны общественного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количества административных правонарушений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trike/>
                <w:sz w:val="21"/>
                <w:szCs w:val="21"/>
              </w:rPr>
            </w:pPr>
            <w:r>
              <w:rPr>
                <w:strike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2"/>
                  <w:sz w:val="21"/>
                  <w:szCs w:val="21"/>
                </w:rPr>
                <w:t>&lt;3&gt;</w:t>
              </w:r>
            </w:hyperlink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количество проведенных мероприятий по защите жизни и здоровья граждан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количества административных правонарушений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Подпрограмма 2 «</w:t>
            </w:r>
            <w:r>
              <w:rPr>
                <w:rFonts w:ascii="Times New Roman" w:hAnsi="Times New Roman"/>
                <w:sz w:val="21"/>
                <w:szCs w:val="21"/>
              </w:rPr>
              <w:t>Профилактика экстремизма и терроризма в Поляковском сельском поселении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22,8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9,5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Мероприятие по монтажу системы видеонаблюдения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риска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Основное мероприятие 2.2.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Мероприятия по техническому обслуживанию автоматической охранной сигнализации здания  администрации Поляковского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риска возникновения террористических и экстремистских проявлений.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22,8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9,5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Основное мероприятие 2.3.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Мероприятия по замене вышедшего из строя жесткого диска видеорегистратора видеонаблюдения в здании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риска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уровеня бдительности населения Поляковского сельского поселения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Подпрограмма 3 «</w:t>
            </w:r>
            <w:r>
              <w:rPr>
                <w:rFonts w:ascii="Times New Roman" w:hAnsi="Times New Roman"/>
                <w:sz w:val="21"/>
                <w:szCs w:val="21"/>
              </w:rPr>
              <w:t>Противодействие коррупции в Поляковском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Основное мероприятие 3.1.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Мероприятия по приобретению стенда «Противодействие коррупции»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антикоррупционного общественного мнения и нетерпимости к проявлениям коррупции;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совершенствование правового регулирования в сфере противодействия коррупции на территории  Поляковского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создание эффективной системы противодействия коррупции.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Подпрограмма 4 «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Комплексные меры </w:t>
            </w:r>
            <w:r>
              <w:rPr>
                <w:rFonts w:ascii="Times New Roman" w:hAnsi="Times New Roman"/>
                <w:sz w:val="21"/>
                <w:szCs w:val="21"/>
              </w:rPr>
              <w:t>противодействия злоупотреблению наркотиками и их незаконному обороту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Основное мероприятие 4.1.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 реализации районных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  <w:szCs w:val="21"/>
                <w:shd w:fill="FFFFFF" w:val="clear"/>
              </w:rPr>
              <w:t>снижение уровня заболеваемости населения синдромом зависимости от наркотиков;</w:t>
            </w: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Основное мероприятие 4.2.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 реализации общероссийской антинаркотической акции – «Сообщи где торгуют смертью»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  <w:szCs w:val="21"/>
                <w:shd w:fill="FFFFFF" w:val="clear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Основное мероприятие 4.3.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Мероприятия по приобретению стенда «Нет наркотикам»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  <w:szCs w:val="21"/>
                <w:shd w:fill="FFFFFF" w:val="clear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  <w:szCs w:val="21"/>
                <w:shd w:fill="FFFFFF" w:val="clear"/>
              </w:rPr>
              <w:t>уничтожение природной сырьевой базы для изготовления наркотиков на территории Поляковского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статей и информационных стендов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негативного отношения к потреблению наркотиков.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bookmarkStart w:id="1" w:name="__DdeLink__5751_3957365471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bookmarkEnd w:id="1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28,8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color w:val="000000"/>
                <w:sz w:val="21"/>
                <w:szCs w:val="21"/>
              </w:rPr>
              <w:t>9,5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19,3</w:t>
            </w:r>
          </w:p>
        </w:tc>
      </w:tr>
    </w:tbl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&lt;1&gt;</w:t>
        </w:r>
      </w:hyperlink>
      <w:r>
        <w:rPr>
          <w:rFonts w:ascii="Times New Roman" w:hAnsi="Times New Roman"/>
          <w:sz w:val="14"/>
          <w:szCs w:val="1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&lt;2&gt;</w:t>
        </w:r>
      </w:hyperlink>
      <w:r>
        <w:rPr>
          <w:rFonts w:ascii="Times New Roman" w:hAnsi="Times New Roman"/>
          <w:sz w:val="14"/>
          <w:szCs w:val="1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&lt;3&gt;</w:t>
        </w:r>
      </w:hyperlink>
      <w:r>
        <w:rPr>
          <w:rFonts w:ascii="Times New Roman" w:hAnsi="Times New Roman"/>
          <w:sz w:val="14"/>
          <w:szCs w:val="14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before="0" w:after="200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&lt;4&gt;</w:t>
        </w:r>
      </w:hyperlink>
      <w:r>
        <w:rPr>
          <w:rFonts w:ascii="Times New Roman" w:hAnsi="Times New Roman"/>
          <w:sz w:val="14"/>
          <w:szCs w:val="14"/>
        </w:rPr>
        <w:t>В целяхоптимизации содержания информациив графе 2 допускается использование аббревиатурна примеросновное мероприятие 1.1 – ОМ 1.1.</w:t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b16ea0"/>
    <w:rPr>
      <w:b/>
      <w:bCs/>
    </w:rPr>
  </w:style>
  <w:style w:type="character" w:styleId="Fontstyle01" w:customStyle="1">
    <w:name w:val="fontstyle01"/>
    <w:basedOn w:val="DefaultParagraphFont"/>
    <w:qFormat/>
    <w:rsid w:val="00b16ea0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21"/>
      <w:szCs w:val="21"/>
    </w:rPr>
  </w:style>
  <w:style w:type="character" w:styleId="ListLabel8">
    <w:name w:val="ListLabel 8"/>
    <w:qFormat/>
    <w:rPr>
      <w:rFonts w:ascii="Times New Roman" w:hAnsi="Times New Roman"/>
      <w:sz w:val="14"/>
      <w:szCs w:val="14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1"/>
      <w:szCs w:val="21"/>
    </w:rPr>
  </w:style>
  <w:style w:type="character" w:styleId="ListLabel11">
    <w:name w:val="ListLabel 11"/>
    <w:qFormat/>
    <w:rPr>
      <w:rFonts w:ascii="Times New Roman" w:hAnsi="Times New Roman"/>
      <w:sz w:val="14"/>
      <w:szCs w:val="14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21"/>
      <w:szCs w:val="21"/>
    </w:rPr>
  </w:style>
  <w:style w:type="character" w:styleId="ListLabel14">
    <w:name w:val="ListLabel 14"/>
    <w:qFormat/>
    <w:rPr>
      <w:rFonts w:ascii="Times New Roman" w:hAnsi="Times New Roman"/>
      <w:sz w:val="14"/>
      <w:szCs w:val="14"/>
    </w:rPr>
  </w:style>
  <w:style w:type="character" w:styleId="ListLabel15">
    <w:name w:val="ListLabel 15"/>
    <w:qFormat/>
    <w:rPr>
      <w:sz w:val="20"/>
      <w:szCs w:val="20"/>
    </w:rPr>
  </w:style>
  <w:style w:type="character" w:styleId="ListLabel16">
    <w:name w:val="ListLabel 16"/>
    <w:qFormat/>
    <w:rPr>
      <w:sz w:val="21"/>
      <w:szCs w:val="21"/>
    </w:rPr>
  </w:style>
  <w:style w:type="character" w:styleId="ListLabel17">
    <w:name w:val="ListLabel 17"/>
    <w:qFormat/>
    <w:rPr>
      <w:rFonts w:ascii="Times New Roman" w:hAnsi="Times New Roman"/>
      <w:sz w:val="14"/>
      <w:szCs w:val="14"/>
    </w:rPr>
  </w:style>
  <w:style w:type="character" w:styleId="ListLabel18">
    <w:name w:val="ListLabel 18"/>
    <w:qFormat/>
    <w:rPr>
      <w:sz w:val="20"/>
      <w:szCs w:val="20"/>
    </w:rPr>
  </w:style>
  <w:style w:type="character" w:styleId="ListLabel19">
    <w:name w:val="ListLabel 19"/>
    <w:qFormat/>
    <w:rPr>
      <w:sz w:val="21"/>
      <w:szCs w:val="21"/>
    </w:rPr>
  </w:style>
  <w:style w:type="character" w:styleId="ListLabel20">
    <w:name w:val="ListLabel 20"/>
    <w:qFormat/>
    <w:rPr>
      <w:rFonts w:ascii="Times New Roman" w:hAnsi="Times New Roman"/>
      <w:sz w:val="14"/>
      <w:szCs w:val="14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sz w:val="21"/>
      <w:szCs w:val="21"/>
    </w:rPr>
  </w:style>
  <w:style w:type="character" w:styleId="ListLabel23">
    <w:name w:val="ListLabel 23"/>
    <w:qFormat/>
    <w:rPr>
      <w:rFonts w:ascii="Times New Roman" w:hAnsi="Times New Roman"/>
      <w:sz w:val="14"/>
      <w:szCs w:val="14"/>
    </w:rPr>
  </w:style>
  <w:style w:type="character" w:styleId="ListLabel24">
    <w:name w:val="ListLabel 24"/>
    <w:qFormat/>
    <w:rPr>
      <w:sz w:val="20"/>
      <w:szCs w:val="20"/>
    </w:rPr>
  </w:style>
  <w:style w:type="character" w:styleId="ListLabel25">
    <w:name w:val="ListLabel 25"/>
    <w:qFormat/>
    <w:rPr>
      <w:sz w:val="21"/>
      <w:szCs w:val="21"/>
    </w:rPr>
  </w:style>
  <w:style w:type="character" w:styleId="ListLabel26">
    <w:name w:val="ListLabel 26"/>
    <w:qFormat/>
    <w:rPr>
      <w:rFonts w:ascii="Times New Roman" w:hAnsi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969F-ED03-4C49-888B-79DC48E9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LibreOffice/6.0.4.2$Windows_x86 LibreOffice_project/9b0d9b32d5dcda91d2f1a96dc04c645c450872bf</Application>
  <Pages>7</Pages>
  <Words>1193</Words>
  <Characters>9032</Characters>
  <CharactersWithSpaces>10171</CharactersWithSpaces>
  <Paragraphs>254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2020-10-06T13:30:08Z</cp:lastPrinted>
  <dcterms:modified xsi:type="dcterms:W3CDTF">2021-07-14T09:43:17Z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